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AD08E" w14:textId="77777777" w:rsidR="00574A2F" w:rsidRDefault="00574A2F">
      <w:pPr>
        <w:rPr>
          <w:b/>
        </w:rPr>
      </w:pPr>
    </w:p>
    <w:p w14:paraId="221F9ACC" w14:textId="77777777" w:rsidR="00532644" w:rsidRDefault="00532644" w:rsidP="00532644">
      <w:pPr>
        <w:jc w:val="center"/>
        <w:rPr>
          <w:b/>
        </w:rPr>
      </w:pPr>
    </w:p>
    <w:p w14:paraId="31825B54"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14:paraId="70F66979"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14:paraId="38393D7F" w14:textId="460A784F" w:rsidR="00532644" w:rsidRPr="00532644" w:rsidRDefault="00EA72FF" w:rsidP="00F87091">
      <w:pPr>
        <w:autoSpaceDE w:val="0"/>
        <w:autoSpaceDN w:val="0"/>
        <w:adjustRightInd w:val="0"/>
        <w:spacing w:after="0" w:line="240" w:lineRule="auto"/>
        <w:jc w:val="center"/>
        <w:rPr>
          <w:rFonts w:ascii="Calibri" w:eastAsia="Calibri" w:hAnsi="Calibri" w:cs="Times New Roman"/>
          <w:i/>
          <w:iCs/>
          <w:color w:val="00000A"/>
          <w:sz w:val="32"/>
          <w:szCs w:val="32"/>
        </w:rPr>
      </w:pPr>
      <w:r w:rsidRPr="00EA72FF">
        <w:rPr>
          <w:rFonts w:ascii="Calibri" w:eastAsia="Calibri" w:hAnsi="Calibri" w:cs="Times New Roman"/>
          <w:i/>
          <w:iCs/>
          <w:color w:val="00000A"/>
          <w:sz w:val="32"/>
          <w:szCs w:val="32"/>
        </w:rPr>
        <w:t>UP.</w:t>
      </w:r>
      <w:r w:rsidR="001B1698">
        <w:rPr>
          <w:rFonts w:ascii="Calibri" w:eastAsia="Calibri" w:hAnsi="Calibri" w:cs="Times New Roman"/>
          <w:i/>
          <w:iCs/>
          <w:color w:val="00000A"/>
          <w:sz w:val="32"/>
          <w:szCs w:val="32"/>
        </w:rPr>
        <w:t>0</w:t>
      </w:r>
      <w:r w:rsidR="00F87091">
        <w:rPr>
          <w:rFonts w:ascii="Calibri" w:eastAsia="Calibri" w:hAnsi="Calibri" w:cs="Times New Roman"/>
          <w:i/>
          <w:iCs/>
          <w:color w:val="00000A"/>
          <w:sz w:val="32"/>
          <w:szCs w:val="32"/>
        </w:rPr>
        <w:t>1</w:t>
      </w:r>
      <w:r w:rsidR="001B1698">
        <w:rPr>
          <w:rFonts w:ascii="Calibri" w:eastAsia="Calibri" w:hAnsi="Calibri" w:cs="Times New Roman"/>
          <w:i/>
          <w:iCs/>
          <w:color w:val="00000A"/>
          <w:sz w:val="32"/>
          <w:szCs w:val="32"/>
        </w:rPr>
        <w:t>.</w:t>
      </w:r>
      <w:r w:rsidR="00F87091">
        <w:rPr>
          <w:rFonts w:ascii="Calibri" w:eastAsia="Calibri" w:hAnsi="Calibri" w:cs="Times New Roman"/>
          <w:i/>
          <w:iCs/>
          <w:color w:val="00000A"/>
          <w:sz w:val="32"/>
          <w:szCs w:val="32"/>
        </w:rPr>
        <w:t>2</w:t>
      </w:r>
      <w:r w:rsidR="001B1698">
        <w:rPr>
          <w:rFonts w:ascii="Calibri" w:eastAsia="Calibri" w:hAnsi="Calibri" w:cs="Times New Roman"/>
          <w:i/>
          <w:iCs/>
          <w:color w:val="00000A"/>
          <w:sz w:val="32"/>
          <w:szCs w:val="32"/>
        </w:rPr>
        <w:t>.</w:t>
      </w:r>
      <w:r w:rsidR="00F87091">
        <w:rPr>
          <w:rFonts w:ascii="Calibri" w:eastAsia="Calibri" w:hAnsi="Calibri" w:cs="Times New Roman"/>
          <w:i/>
          <w:iCs/>
          <w:color w:val="00000A"/>
          <w:sz w:val="32"/>
          <w:szCs w:val="32"/>
        </w:rPr>
        <w:t>0</w:t>
      </w:r>
      <w:r w:rsidR="001B1698">
        <w:rPr>
          <w:rFonts w:ascii="Calibri" w:eastAsia="Calibri" w:hAnsi="Calibri" w:cs="Times New Roman"/>
          <w:i/>
          <w:iCs/>
          <w:color w:val="00000A"/>
          <w:sz w:val="32"/>
          <w:szCs w:val="32"/>
        </w:rPr>
        <w:t>.</w:t>
      </w:r>
      <w:r w:rsidR="00F87091">
        <w:rPr>
          <w:rFonts w:ascii="Calibri" w:eastAsia="Calibri" w:hAnsi="Calibri" w:cs="Times New Roman"/>
          <w:i/>
          <w:iCs/>
          <w:color w:val="00000A"/>
          <w:sz w:val="32"/>
          <w:szCs w:val="32"/>
        </w:rPr>
        <w:t>04</w:t>
      </w:r>
      <w:r>
        <w:rPr>
          <w:rFonts w:ascii="Calibri" w:eastAsia="Calibri" w:hAnsi="Calibri" w:cs="Times New Roman"/>
          <w:i/>
          <w:iCs/>
          <w:color w:val="00000A"/>
          <w:sz w:val="32"/>
          <w:szCs w:val="32"/>
        </w:rPr>
        <w:t xml:space="preserve"> </w:t>
      </w:r>
      <w:r w:rsidR="00F87091" w:rsidRPr="00F87091">
        <w:rPr>
          <w:rFonts w:ascii="Calibri" w:eastAsia="Calibri" w:hAnsi="Calibri" w:cs="Times New Roman"/>
          <w:i/>
          <w:iCs/>
          <w:color w:val="00000A"/>
          <w:sz w:val="32"/>
          <w:szCs w:val="32"/>
        </w:rPr>
        <w:t>„Pronađi me!“ – provedba aktivnosti dosega i obrazovanja neaktivnih mladih osoba u NEET statusu</w:t>
      </w:r>
    </w:p>
    <w:p w14:paraId="0042E14D" w14:textId="77777777" w:rsidR="00F87091" w:rsidRDefault="00F87091" w:rsidP="26CC0193">
      <w:pPr>
        <w:autoSpaceDE w:val="0"/>
        <w:autoSpaceDN w:val="0"/>
        <w:adjustRightInd w:val="0"/>
        <w:spacing w:after="0" w:line="240" w:lineRule="auto"/>
        <w:jc w:val="center"/>
        <w:rPr>
          <w:rFonts w:ascii="Calibri" w:eastAsia="Calibri" w:hAnsi="Calibri" w:cs="Times New Roman"/>
          <w:i/>
          <w:iCs/>
          <w:color w:val="00000A"/>
          <w:sz w:val="24"/>
          <w:szCs w:val="24"/>
        </w:rPr>
      </w:pPr>
    </w:p>
    <w:p w14:paraId="06F8F267" w14:textId="2F0A3A0E" w:rsidR="00532644" w:rsidRPr="00532644" w:rsidRDefault="00532644" w:rsidP="26CC0193">
      <w:pPr>
        <w:autoSpaceDE w:val="0"/>
        <w:autoSpaceDN w:val="0"/>
        <w:adjustRightInd w:val="0"/>
        <w:spacing w:after="0" w:line="240" w:lineRule="auto"/>
        <w:jc w:val="center"/>
        <w:rPr>
          <w:rFonts w:ascii="Calibri" w:eastAsia="Calibri" w:hAnsi="Calibri" w:cs="Times New Roman"/>
          <w:i/>
          <w:iCs/>
          <w:color w:val="00000A"/>
          <w:sz w:val="24"/>
          <w:szCs w:val="24"/>
          <w:highlight w:val="yellow"/>
        </w:rPr>
      </w:pPr>
      <w:r w:rsidRPr="26CC0193">
        <w:rPr>
          <w:rFonts w:ascii="Calibri" w:eastAsia="Calibri" w:hAnsi="Calibri" w:cs="Times New Roman"/>
          <w:i/>
          <w:iCs/>
          <w:color w:val="00000A"/>
          <w:sz w:val="24"/>
          <w:szCs w:val="24"/>
        </w:rPr>
        <w:t xml:space="preserve">Pitanja pristigla na </w:t>
      </w:r>
      <w:r w:rsidRPr="26CC0193">
        <w:rPr>
          <w:rFonts w:ascii="Calibri" w:eastAsia="Calibri" w:hAnsi="Calibri" w:cs="Times New Roman"/>
          <w:i/>
          <w:iCs/>
          <w:color w:val="0000FF"/>
          <w:sz w:val="24"/>
          <w:szCs w:val="24"/>
        </w:rPr>
        <w:t xml:space="preserve">esf.info@mrms.hr </w:t>
      </w:r>
      <w:r w:rsidRPr="26CC0193">
        <w:rPr>
          <w:rFonts w:ascii="Calibri" w:eastAsia="Calibri" w:hAnsi="Calibri" w:cs="Times New Roman"/>
          <w:i/>
          <w:iCs/>
          <w:sz w:val="24"/>
          <w:szCs w:val="24"/>
        </w:rPr>
        <w:t xml:space="preserve">od </w:t>
      </w:r>
      <w:r w:rsidR="00F57E17">
        <w:rPr>
          <w:rFonts w:ascii="Calibri" w:eastAsia="Calibri" w:hAnsi="Calibri" w:cs="Times New Roman"/>
          <w:i/>
          <w:iCs/>
          <w:sz w:val="24"/>
          <w:szCs w:val="24"/>
        </w:rPr>
        <w:t>2</w:t>
      </w:r>
      <w:r w:rsidR="0053239E">
        <w:rPr>
          <w:rFonts w:ascii="Calibri" w:eastAsia="Calibri" w:hAnsi="Calibri" w:cs="Times New Roman"/>
          <w:i/>
          <w:iCs/>
          <w:sz w:val="24"/>
          <w:szCs w:val="24"/>
        </w:rPr>
        <w:t>5</w:t>
      </w:r>
      <w:r w:rsidR="001F44DE" w:rsidRPr="26CC0193">
        <w:rPr>
          <w:rFonts w:ascii="Calibri" w:eastAsia="Calibri" w:hAnsi="Calibri" w:cs="Times New Roman"/>
          <w:i/>
          <w:iCs/>
          <w:sz w:val="24"/>
          <w:szCs w:val="24"/>
        </w:rPr>
        <w:t>.</w:t>
      </w:r>
      <w:r w:rsidR="00F87091">
        <w:rPr>
          <w:rFonts w:ascii="Calibri" w:eastAsia="Calibri" w:hAnsi="Calibri" w:cs="Times New Roman"/>
          <w:i/>
          <w:iCs/>
          <w:sz w:val="24"/>
          <w:szCs w:val="24"/>
        </w:rPr>
        <w:t>7</w:t>
      </w:r>
      <w:r w:rsidR="00144BE1" w:rsidRPr="26CC0193">
        <w:rPr>
          <w:rFonts w:ascii="Calibri" w:eastAsia="Calibri" w:hAnsi="Calibri" w:cs="Times New Roman"/>
          <w:i/>
          <w:iCs/>
          <w:sz w:val="24"/>
          <w:szCs w:val="24"/>
        </w:rPr>
        <w:t xml:space="preserve">. </w:t>
      </w:r>
      <w:r w:rsidRPr="26CC0193">
        <w:rPr>
          <w:rFonts w:ascii="Calibri" w:eastAsia="Calibri" w:hAnsi="Calibri" w:cs="Times New Roman"/>
          <w:i/>
          <w:iCs/>
          <w:color w:val="00000A"/>
          <w:sz w:val="24"/>
          <w:szCs w:val="24"/>
        </w:rPr>
        <w:t xml:space="preserve">do </w:t>
      </w:r>
      <w:r w:rsidR="00E90CB5">
        <w:rPr>
          <w:rFonts w:ascii="Calibri" w:eastAsia="Calibri" w:hAnsi="Calibri" w:cs="Times New Roman"/>
          <w:i/>
          <w:iCs/>
          <w:color w:val="00000A"/>
          <w:sz w:val="24"/>
          <w:szCs w:val="24"/>
        </w:rPr>
        <w:t>30</w:t>
      </w:r>
      <w:bookmarkStart w:id="0" w:name="_GoBack"/>
      <w:bookmarkEnd w:id="0"/>
      <w:r w:rsidR="708F16E4" w:rsidRPr="26CC0193">
        <w:rPr>
          <w:rFonts w:ascii="Calibri" w:eastAsia="Calibri" w:hAnsi="Calibri" w:cs="Times New Roman"/>
          <w:i/>
          <w:iCs/>
          <w:color w:val="00000A"/>
          <w:sz w:val="24"/>
          <w:szCs w:val="24"/>
        </w:rPr>
        <w:t>.</w:t>
      </w:r>
      <w:r w:rsidR="00F87091">
        <w:rPr>
          <w:rFonts w:ascii="Calibri" w:eastAsia="Calibri" w:hAnsi="Calibri" w:cs="Times New Roman"/>
          <w:i/>
          <w:iCs/>
          <w:color w:val="00000A"/>
          <w:sz w:val="24"/>
          <w:szCs w:val="24"/>
        </w:rPr>
        <w:t>7</w:t>
      </w:r>
      <w:r w:rsidR="708F16E4" w:rsidRPr="26CC0193">
        <w:rPr>
          <w:rFonts w:ascii="Calibri" w:eastAsia="Calibri" w:hAnsi="Calibri" w:cs="Times New Roman"/>
          <w:i/>
          <w:iCs/>
          <w:color w:val="00000A"/>
          <w:sz w:val="24"/>
          <w:szCs w:val="24"/>
        </w:rPr>
        <w:t>.</w:t>
      </w:r>
      <w:r w:rsidR="006C4CC7" w:rsidRPr="26CC0193">
        <w:rPr>
          <w:rFonts w:ascii="Calibri" w:eastAsia="Calibri" w:hAnsi="Calibri" w:cs="Times New Roman"/>
          <w:i/>
          <w:iCs/>
          <w:color w:val="00000A"/>
          <w:sz w:val="24"/>
          <w:szCs w:val="24"/>
        </w:rPr>
        <w:t>2020.</w:t>
      </w:r>
    </w:p>
    <w:p w14:paraId="177814EA"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14:paraId="13E4FFFB" w14:textId="7346C071"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w:t>
      </w:r>
      <w:r w:rsidR="000B2F11">
        <w:rPr>
          <w:rFonts w:ascii="Calibri" w:eastAsia="Calibri" w:hAnsi="Calibri" w:cs="Times New Roman"/>
          <w:color w:val="000000"/>
        </w:rPr>
        <w:t xml:space="preserve">, </w:t>
      </w:r>
      <w:r w:rsidRPr="00532644">
        <w:rPr>
          <w:rFonts w:ascii="Calibri" w:eastAsia="Calibri" w:hAnsi="Calibri" w:cs="Times New Roman"/>
          <w:color w:val="000000"/>
        </w:rPr>
        <w:t>mirovinskoga sustava</w:t>
      </w:r>
      <w:r w:rsidR="000B2F11">
        <w:rPr>
          <w:rFonts w:ascii="Calibri" w:eastAsia="Calibri" w:hAnsi="Calibri" w:cs="Times New Roman"/>
          <w:color w:val="000000"/>
        </w:rPr>
        <w:t xml:space="preserve">, </w:t>
      </w:r>
      <w:r w:rsidR="000B2F11" w:rsidRPr="000B2F11">
        <w:rPr>
          <w:rFonts w:ascii="Calibri" w:eastAsia="Calibri" w:hAnsi="Calibri" w:cs="Times New Roman"/>
          <w:color w:val="000000"/>
        </w:rPr>
        <w:t>obitelji i socijalne politike</w:t>
      </w:r>
      <w:r w:rsidRPr="00532644">
        <w:rPr>
          <w:rFonts w:ascii="Calibri" w:eastAsia="Calibri" w:hAnsi="Calibri" w:cs="Times New Roman"/>
          <w:color w:val="000000"/>
        </w:rPr>
        <w:t xml:space="preserve"> u okviru ovog dokumenta, a čija je svrha pojasniti uvjete</w:t>
      </w:r>
    </w:p>
    <w:p w14:paraId="533CE9C5" w14:textId="77777777"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natječajne dokumentacije,</w:t>
      </w:r>
      <w:r w:rsidR="00532644" w:rsidRPr="00532644">
        <w:rPr>
          <w:rFonts w:ascii="Calibri" w:eastAsia="Calibri" w:hAnsi="Calibri" w:cs="Times New Roman"/>
          <w:color w:val="000000"/>
        </w:rPr>
        <w:t xml:space="preserve"> daje mišljenje o prihvatljivosti određenog prijavitelja,</w:t>
      </w:r>
    </w:p>
    <w:p w14:paraId="62E0FD23"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14:paraId="6C5C07FF" w14:textId="77777777" w:rsidR="00AB6556" w:rsidRDefault="00532644" w:rsidP="00246D67">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10065" w:type="dxa"/>
        <w:jc w:val="center"/>
        <w:tblLook w:val="04A0" w:firstRow="1" w:lastRow="0" w:firstColumn="1" w:lastColumn="0" w:noHBand="0" w:noVBand="1"/>
      </w:tblPr>
      <w:tblGrid>
        <w:gridCol w:w="781"/>
        <w:gridCol w:w="4987"/>
        <w:gridCol w:w="4297"/>
      </w:tblGrid>
      <w:tr w:rsidR="00C469D5" w:rsidRPr="005408C4" w14:paraId="083AE30A" w14:textId="77777777" w:rsidTr="004C5BF4">
        <w:trPr>
          <w:jc w:val="center"/>
        </w:trPr>
        <w:tc>
          <w:tcPr>
            <w:tcW w:w="781" w:type="dxa"/>
            <w:vAlign w:val="center"/>
          </w:tcPr>
          <w:p w14:paraId="6A8723CF" w14:textId="4BC2FB9D" w:rsidR="00C469D5" w:rsidRPr="005408C4" w:rsidRDefault="00C469D5" w:rsidP="004C5BF4">
            <w:pPr>
              <w:jc w:val="center"/>
              <w:rPr>
                <w:rFonts w:ascii="Calibri" w:eastAsia="Calibri" w:hAnsi="Calibri" w:cs="Times New Roman"/>
              </w:rPr>
            </w:pPr>
            <w:r w:rsidRPr="005408C4">
              <w:rPr>
                <w:rFonts w:ascii="Calibri" w:eastAsia="Calibri" w:hAnsi="Calibri" w:cs="Times New Roman"/>
              </w:rPr>
              <w:t>RB.</w:t>
            </w:r>
          </w:p>
        </w:tc>
        <w:tc>
          <w:tcPr>
            <w:tcW w:w="4987" w:type="dxa"/>
            <w:vAlign w:val="center"/>
          </w:tcPr>
          <w:p w14:paraId="5D75B13C" w14:textId="77777777" w:rsidR="00C469D5" w:rsidRPr="005408C4" w:rsidRDefault="00C469D5" w:rsidP="004C5BF4">
            <w:pPr>
              <w:jc w:val="center"/>
              <w:rPr>
                <w:rFonts w:ascii="Calibri" w:eastAsia="Calibri" w:hAnsi="Calibri" w:cs="Times New Roman"/>
              </w:rPr>
            </w:pPr>
            <w:r w:rsidRPr="005408C4">
              <w:rPr>
                <w:rFonts w:ascii="Calibri" w:eastAsia="Calibri" w:hAnsi="Calibri" w:cs="Times New Roman"/>
              </w:rPr>
              <w:t>PITANJE</w:t>
            </w:r>
          </w:p>
        </w:tc>
        <w:tc>
          <w:tcPr>
            <w:tcW w:w="4297" w:type="dxa"/>
            <w:vAlign w:val="center"/>
          </w:tcPr>
          <w:p w14:paraId="071D405D" w14:textId="77777777" w:rsidR="00C469D5" w:rsidRPr="005408C4" w:rsidRDefault="00C469D5" w:rsidP="004C5BF4">
            <w:pPr>
              <w:jc w:val="center"/>
              <w:rPr>
                <w:rFonts w:ascii="Calibri" w:eastAsia="Calibri" w:hAnsi="Calibri" w:cs="Times New Roman"/>
              </w:rPr>
            </w:pPr>
            <w:r w:rsidRPr="005408C4">
              <w:rPr>
                <w:rFonts w:ascii="Calibri" w:eastAsia="Calibri" w:hAnsi="Calibri" w:cs="Times New Roman"/>
              </w:rPr>
              <w:t>ODGOVOR</w:t>
            </w:r>
          </w:p>
        </w:tc>
      </w:tr>
      <w:tr w:rsidR="00C469D5" w:rsidRPr="00633A0E" w14:paraId="47D5474A" w14:textId="77777777" w:rsidTr="004C5BF4">
        <w:trPr>
          <w:jc w:val="center"/>
        </w:trPr>
        <w:tc>
          <w:tcPr>
            <w:tcW w:w="781" w:type="dxa"/>
          </w:tcPr>
          <w:p w14:paraId="5624B366" w14:textId="77777777" w:rsidR="00C469D5" w:rsidRPr="00633A0E" w:rsidRDefault="00C469D5" w:rsidP="00C469D5">
            <w:pPr>
              <w:numPr>
                <w:ilvl w:val="0"/>
                <w:numId w:val="4"/>
              </w:numPr>
              <w:contextualSpacing/>
              <w:rPr>
                <w:rFonts w:eastAsia="Calibri" w:cs="Times New Roman"/>
              </w:rPr>
            </w:pPr>
          </w:p>
        </w:tc>
        <w:tc>
          <w:tcPr>
            <w:tcW w:w="4987" w:type="dxa"/>
          </w:tcPr>
          <w:p w14:paraId="590335CE" w14:textId="1D491E4F" w:rsidR="00F57E17" w:rsidRPr="00F87091" w:rsidRDefault="007902E3" w:rsidP="007902E3">
            <w:pPr>
              <w:jc w:val="both"/>
              <w:rPr>
                <w:rFonts w:eastAsia="Times New Roman" w:cs="Times New Roman"/>
              </w:rPr>
            </w:pPr>
            <w:r>
              <w:rPr>
                <w:rFonts w:eastAsia="Times New Roman" w:cs="Times New Roman"/>
              </w:rPr>
              <w:t>Z</w:t>
            </w:r>
            <w:r w:rsidRPr="007902E3">
              <w:rPr>
                <w:rFonts w:eastAsia="Times New Roman" w:cs="Times New Roman"/>
              </w:rPr>
              <w:t>anima nas dokumentacija vezana uz plaće, što se točno i kada šalje kako bi se odredila standar</w:t>
            </w:r>
            <w:r>
              <w:rPr>
                <w:rFonts w:eastAsia="Times New Roman" w:cs="Times New Roman"/>
              </w:rPr>
              <w:t>d</w:t>
            </w:r>
            <w:r w:rsidRPr="007902E3">
              <w:rPr>
                <w:rFonts w:eastAsia="Times New Roman" w:cs="Times New Roman"/>
              </w:rPr>
              <w:t>na veličina. Na info radionici je rečeno da se šalje 12 platnih lista s pripadajućom dokumentacijom, no dalje u uputama kako poslati projektni prijedlog to se više ne spominje. U kojem trenutku treba dostaviti dokumentaciju i što podrazumijeva dodatnu dokumentaciju, JOPPD obrazac ili nešto drugo?</w:t>
            </w:r>
          </w:p>
        </w:tc>
        <w:tc>
          <w:tcPr>
            <w:tcW w:w="4297" w:type="dxa"/>
          </w:tcPr>
          <w:p w14:paraId="6B34134C" w14:textId="515DE3F7" w:rsidR="000E3038" w:rsidRPr="00C95C05" w:rsidRDefault="00C32883" w:rsidP="00EA5A40">
            <w:pPr>
              <w:spacing w:line="276" w:lineRule="auto"/>
              <w:jc w:val="both"/>
              <w:rPr>
                <w:rFonts w:eastAsia="Calibri" w:cs="Calibri"/>
              </w:rPr>
            </w:pPr>
            <w:r w:rsidRPr="000456A7">
              <w:rPr>
                <w:rFonts w:eastAsia="Calibri" w:cs="Calibri"/>
              </w:rPr>
              <w:t>Za potrebe ugovaranja standardnih veličina jediničnih troškova prijavitelj će biti zatražen da dostavi platne liste za svih 12 mjeseci referentnog razdoblja neovisno o tome ulaze li one u izračun godišnjeg bruto 2 iznosa troškova plaće.</w:t>
            </w:r>
            <w:r>
              <w:rPr>
                <w:rFonts w:eastAsia="Calibri" w:cs="Calibri"/>
              </w:rPr>
              <w:t xml:space="preserve"> Navedena dokumentacija se dostavlja prilikom provjere prihvatljivosti izdataka u kojoj će Posredničko tijelo razine 2 od Prijavitelja pisanim putem zatražiti dostavu potrebne dokumentacije. </w:t>
            </w:r>
            <w:r w:rsidRPr="003E1D55">
              <w:rPr>
                <w:rFonts w:eastAsia="Calibri" w:cs="Calibri"/>
              </w:rPr>
              <w:t>Ako prijavitelj/partner ne može izračunati godišnji bruto iznos troškova plaće u referentnom razdoblju jer planira novo zapošljavanje, potrebno je dostaviti cjelokupnu dokumentaciju iz koje je vidljivo da se izračun temelji na prosjeku stvarnih troškova plaća radnika sličnih kvalifikacija i opisa poslova.</w:t>
            </w:r>
          </w:p>
        </w:tc>
      </w:tr>
      <w:tr w:rsidR="0ADC45A5" w14:paraId="309E0A38" w14:textId="77777777" w:rsidTr="004C5BF4">
        <w:trPr>
          <w:jc w:val="center"/>
        </w:trPr>
        <w:tc>
          <w:tcPr>
            <w:tcW w:w="781" w:type="dxa"/>
          </w:tcPr>
          <w:p w14:paraId="6676DCD5" w14:textId="5644FF6E" w:rsidR="7C76D4A5" w:rsidRDefault="72CA706B" w:rsidP="0ADC45A5">
            <w:pPr>
              <w:jc w:val="center"/>
              <w:rPr>
                <w:rFonts w:ascii="Calibri" w:eastAsia="Calibri" w:hAnsi="Calibri" w:cs="Times New Roman"/>
              </w:rPr>
            </w:pPr>
            <w:r w:rsidRPr="5820DE1D">
              <w:rPr>
                <w:rFonts w:ascii="Calibri" w:eastAsia="Calibri" w:hAnsi="Calibri" w:cs="Times New Roman"/>
              </w:rPr>
              <w:t>2</w:t>
            </w:r>
            <w:r w:rsidR="5E888CC8" w:rsidRPr="5820DE1D">
              <w:rPr>
                <w:rFonts w:ascii="Calibri" w:eastAsia="Calibri" w:hAnsi="Calibri" w:cs="Times New Roman"/>
              </w:rPr>
              <w:t>.</w:t>
            </w:r>
          </w:p>
        </w:tc>
        <w:tc>
          <w:tcPr>
            <w:tcW w:w="4987" w:type="dxa"/>
          </w:tcPr>
          <w:p w14:paraId="35D4C317" w14:textId="0A8FB61D" w:rsidR="007902E3" w:rsidRPr="007902E3" w:rsidRDefault="007902E3" w:rsidP="007902E3">
            <w:pPr>
              <w:jc w:val="both"/>
              <w:rPr>
                <w:rFonts w:eastAsiaTheme="minorEastAsia"/>
              </w:rPr>
            </w:pPr>
            <w:r>
              <w:rPr>
                <w:rFonts w:eastAsiaTheme="minorEastAsia"/>
              </w:rPr>
              <w:t>U</w:t>
            </w:r>
            <w:r w:rsidRPr="007902E3">
              <w:rPr>
                <w:rFonts w:eastAsiaTheme="minorEastAsia"/>
              </w:rPr>
              <w:t xml:space="preserve">druga je svojim statutom uredila kako neće koristiti pečat u svom poslovanju, u skladu s dopunama Zakona o udrugama iz 2017. godine (NN 70/17). </w:t>
            </w:r>
          </w:p>
          <w:p w14:paraId="3E4D1722" w14:textId="77777777" w:rsidR="007902E3" w:rsidRPr="007902E3" w:rsidRDefault="007902E3" w:rsidP="007902E3">
            <w:pPr>
              <w:jc w:val="both"/>
              <w:rPr>
                <w:rFonts w:eastAsiaTheme="minorEastAsia"/>
              </w:rPr>
            </w:pPr>
          </w:p>
          <w:p w14:paraId="6A226E5E" w14:textId="2A35916C" w:rsidR="2B322B7D" w:rsidRPr="00F87091" w:rsidRDefault="007902E3" w:rsidP="007902E3">
            <w:pPr>
              <w:jc w:val="both"/>
              <w:rPr>
                <w:rFonts w:eastAsiaTheme="minorEastAsia"/>
              </w:rPr>
            </w:pPr>
            <w:r w:rsidRPr="007902E3">
              <w:rPr>
                <w:rFonts w:eastAsiaTheme="minorEastAsia"/>
              </w:rPr>
              <w:t>Budući da se prijavnom obrascu A prilaže potpisana i pečatirana Izjava prijavitelja o istinitosti svih podataka navedenih u prijavnom paketu, zanima nas može li se Izjava prijavitelja o istinitosti svih podataka  navedenih u prijavnom paketu ovjeriti samo potpiso</w:t>
            </w:r>
            <w:r>
              <w:rPr>
                <w:rFonts w:eastAsiaTheme="minorEastAsia"/>
              </w:rPr>
              <w:t>m osobe ovlaštene za zastupanje.</w:t>
            </w:r>
          </w:p>
        </w:tc>
        <w:tc>
          <w:tcPr>
            <w:tcW w:w="4297" w:type="dxa"/>
          </w:tcPr>
          <w:p w14:paraId="6A79C983" w14:textId="753C411C" w:rsidR="005179E3" w:rsidRPr="00FE7525" w:rsidRDefault="00FE7525" w:rsidP="00FE7525">
            <w:pPr>
              <w:jc w:val="both"/>
              <w:rPr>
                <w:rFonts w:eastAsiaTheme="minorEastAsia"/>
              </w:rPr>
            </w:pPr>
            <w:r w:rsidRPr="00FE7525">
              <w:rPr>
                <w:rFonts w:eastAsiaTheme="minorEastAsia"/>
              </w:rPr>
              <w:t xml:space="preserve">Ukoliko udruga nije statutom predvidjela korištenje pečata u svom poslovanju, navedenu Izjavu nije potrebno </w:t>
            </w:r>
            <w:proofErr w:type="spellStart"/>
            <w:r w:rsidRPr="00FE7525">
              <w:rPr>
                <w:rFonts w:eastAsiaTheme="minorEastAsia"/>
              </w:rPr>
              <w:t>pečatirati</w:t>
            </w:r>
            <w:proofErr w:type="spellEnd"/>
            <w:r w:rsidRPr="00FE7525">
              <w:rPr>
                <w:rFonts w:eastAsiaTheme="minorEastAsia"/>
              </w:rPr>
              <w:t xml:space="preserve">. </w:t>
            </w:r>
          </w:p>
        </w:tc>
      </w:tr>
      <w:tr w:rsidR="5820DE1D" w:rsidRPr="00EA6E76" w14:paraId="18C19508" w14:textId="77777777" w:rsidTr="004C5BF4">
        <w:trPr>
          <w:jc w:val="center"/>
        </w:trPr>
        <w:tc>
          <w:tcPr>
            <w:tcW w:w="781" w:type="dxa"/>
          </w:tcPr>
          <w:p w14:paraId="18ABF656" w14:textId="0BF74BC8" w:rsidR="139065B1" w:rsidRPr="00EA6E76" w:rsidRDefault="139065B1" w:rsidP="6D4A2B6D">
            <w:pPr>
              <w:jc w:val="center"/>
              <w:rPr>
                <w:rFonts w:eastAsia="Calibri" w:cs="Times New Roman"/>
              </w:rPr>
            </w:pPr>
            <w:r w:rsidRPr="6D4A2B6D">
              <w:rPr>
                <w:rFonts w:eastAsia="Calibri" w:cs="Times New Roman"/>
              </w:rPr>
              <w:lastRenderedPageBreak/>
              <w:t>3</w:t>
            </w:r>
            <w:r w:rsidR="7BA32A83" w:rsidRPr="6D4A2B6D">
              <w:rPr>
                <w:rFonts w:eastAsia="Calibri" w:cs="Times New Roman"/>
              </w:rPr>
              <w:t>.</w:t>
            </w:r>
          </w:p>
        </w:tc>
        <w:tc>
          <w:tcPr>
            <w:tcW w:w="4987" w:type="dxa"/>
          </w:tcPr>
          <w:p w14:paraId="4EDC9A8C" w14:textId="2347305D" w:rsidR="5820DE1D" w:rsidRPr="00F87091" w:rsidRDefault="007902E3" w:rsidP="00F57E17">
            <w:pPr>
              <w:jc w:val="both"/>
              <w:rPr>
                <w:rFonts w:eastAsia="Times New Roman" w:cs="Times New Roman"/>
              </w:rPr>
            </w:pPr>
            <w:r w:rsidRPr="007902E3">
              <w:rPr>
                <w:rFonts w:eastAsia="Times New Roman" w:cs="Times New Roman"/>
              </w:rPr>
              <w:t xml:space="preserve">Molimo odgovor na pitanje vezano za prihvatljivost partnera. Dakle, prema točki 2.2.2. </w:t>
            </w:r>
            <w:proofErr w:type="spellStart"/>
            <w:r w:rsidRPr="007902E3">
              <w:rPr>
                <w:rFonts w:eastAsia="Times New Roman" w:cs="Times New Roman"/>
              </w:rPr>
              <w:t>UzP</w:t>
            </w:r>
            <w:proofErr w:type="spellEnd"/>
            <w:r w:rsidRPr="007902E3">
              <w:rPr>
                <w:rFonts w:eastAsia="Times New Roman" w:cs="Times New Roman"/>
              </w:rPr>
              <w:t xml:space="preserve">, “prihvatljivi partneri” navedeno je da su prihvatljive i javne ustanove ili trgovačka društva koja sukladno Zakonu o regionalnom razvoju obavljaju poslove regionalnih koordinatora odnosno lokalne razvojne agencije ili lokalne akcijske grupe (…). U našem konkretnom slučaju, naša razvojna agencija (d.o.o.) do 2018. obavljala je poslove poticanja regionalnog razvoja te je imala status regionalnog koordinatora. Promjenom Zakona, osnovana je javna ustanova koja je od 2018. akreditirana za status regionalnog koordinatora, dok je trgovačko društvo nastavilo djelovati I obavljati iste poslove, samo bez statusa regionalnog koordinatora. Molimo pojašnjenje, obzirom da iz točke 2.2.2. </w:t>
            </w:r>
            <w:proofErr w:type="spellStart"/>
            <w:r w:rsidRPr="007902E3">
              <w:rPr>
                <w:rFonts w:eastAsia="Times New Roman" w:cs="Times New Roman"/>
              </w:rPr>
              <w:t>UzP</w:t>
            </w:r>
            <w:proofErr w:type="spellEnd"/>
            <w:r w:rsidRPr="007902E3">
              <w:rPr>
                <w:rFonts w:eastAsia="Times New Roman" w:cs="Times New Roman"/>
              </w:rPr>
              <w:t xml:space="preserve"> nije najjasnije definirano, može li i trgovačko društvo, koje djeluje kao regionalna razvojna agencija, ali nema status regionalnog koordinatora, sudjelovati na projektu kao prihvatljiv partner.</w:t>
            </w:r>
          </w:p>
        </w:tc>
        <w:tc>
          <w:tcPr>
            <w:tcW w:w="4297" w:type="dxa"/>
          </w:tcPr>
          <w:p w14:paraId="409B4B34" w14:textId="055A4451" w:rsidR="00902EED" w:rsidRPr="00EA6E76" w:rsidRDefault="00403B38" w:rsidP="002D4DB9">
            <w:pPr>
              <w:jc w:val="both"/>
              <w:rPr>
                <w:rFonts w:eastAsiaTheme="minorEastAsia"/>
              </w:rPr>
            </w:pPr>
            <w:r>
              <w:rPr>
                <w:rFonts w:eastAsiaTheme="minorEastAsia"/>
              </w:rPr>
              <w:t>Sukladno točki 2.2.2. Uputa za prijavitelje,</w:t>
            </w:r>
            <w:r w:rsidR="00902EED">
              <w:rPr>
                <w:rFonts w:eastAsiaTheme="minorEastAsia"/>
              </w:rPr>
              <w:t xml:space="preserve">partneri na projektu mogu, između ostalih, biti i </w:t>
            </w:r>
            <w:r w:rsidR="00902EED" w:rsidRPr="00902EED">
              <w:rPr>
                <w:rFonts w:eastAsiaTheme="minorEastAsia"/>
              </w:rPr>
              <w:t>javne ustanove ili trgovačka društva koja sukladno Zakonu o regionalnom razvoju (NN 147/14, 123/17, 118/18) obavljaju poslove regionalnih koordinatora</w:t>
            </w:r>
            <w:r w:rsidR="00902EED">
              <w:rPr>
                <w:rFonts w:eastAsiaTheme="minorEastAsia"/>
              </w:rPr>
              <w:t>,</w:t>
            </w:r>
            <w:r w:rsidR="00902EED" w:rsidRPr="00902EED">
              <w:rPr>
                <w:rFonts w:eastAsiaTheme="minorEastAsia"/>
              </w:rPr>
              <w:t xml:space="preserve"> odnosno lokalne razvojne agencije ili lokalne akcijske grupe, a koje su upisane u Upisnik regionalnih koordinatora i lokalnih razvojnih agencija koji vodi Ministarstvo regionalnih razvoja i fondova </w:t>
            </w:r>
            <w:r w:rsidR="00902EED" w:rsidRPr="00230E9F">
              <w:rPr>
                <w:rFonts w:eastAsiaTheme="minorEastAsia"/>
              </w:rPr>
              <w:t xml:space="preserve">Europske Unije. Dakle, ako ste lokalna razvojna agencija </w:t>
            </w:r>
            <w:r w:rsidR="00902EED" w:rsidRPr="00B803F6">
              <w:rPr>
                <w:rFonts w:eastAsiaTheme="minorEastAsia"/>
              </w:rPr>
              <w:t xml:space="preserve">koja </w:t>
            </w:r>
            <w:r w:rsidR="00902EED" w:rsidRPr="00DF7C76">
              <w:rPr>
                <w:rFonts w:eastAsiaTheme="minorEastAsia"/>
              </w:rPr>
              <w:t xml:space="preserve">je upisana u Upisnik regionalnih koordinatora i lokalnih razvojnih agencija koji vodi Ministarstvo regionalnih razvoja i fondova Europske Unije, </w:t>
            </w:r>
            <w:r w:rsidR="00902EED">
              <w:rPr>
                <w:rFonts w:eastAsiaTheme="minorEastAsia"/>
              </w:rPr>
              <w:t>tada možete biti prihvatljiv partner na ovom Pozivu (pod uvjetom da ispunjavate i ostale propisane kriterije prihvatljivosti partnera navedenima u točki 2.2.2.).</w:t>
            </w:r>
          </w:p>
        </w:tc>
      </w:tr>
      <w:tr w:rsidR="78E8064C" w:rsidRPr="00EA6E76" w14:paraId="44219D85" w14:textId="77777777" w:rsidTr="004C5BF4">
        <w:trPr>
          <w:jc w:val="center"/>
        </w:trPr>
        <w:tc>
          <w:tcPr>
            <w:tcW w:w="781" w:type="dxa"/>
          </w:tcPr>
          <w:p w14:paraId="2CCCCAC8" w14:textId="0D67F14F" w:rsidR="28F4EF9B" w:rsidRPr="00EA6E76" w:rsidRDefault="28F4EF9B" w:rsidP="6D4A2B6D">
            <w:pPr>
              <w:jc w:val="center"/>
              <w:rPr>
                <w:rFonts w:eastAsia="Calibri" w:cs="Times New Roman"/>
              </w:rPr>
            </w:pPr>
            <w:r w:rsidRPr="6D4A2B6D">
              <w:rPr>
                <w:rFonts w:eastAsia="Calibri" w:cs="Times New Roman"/>
              </w:rPr>
              <w:t>4.</w:t>
            </w:r>
          </w:p>
        </w:tc>
        <w:tc>
          <w:tcPr>
            <w:tcW w:w="4987" w:type="dxa"/>
          </w:tcPr>
          <w:p w14:paraId="671A6FD6" w14:textId="142615EE" w:rsidR="78E8064C" w:rsidRPr="00F87091" w:rsidRDefault="007902E3" w:rsidP="00F57E17">
            <w:pPr>
              <w:jc w:val="both"/>
              <w:rPr>
                <w:rFonts w:eastAsia="Calibri" w:cs="Calibri"/>
                <w:highlight w:val="yellow"/>
              </w:rPr>
            </w:pPr>
            <w:r>
              <w:rPr>
                <w:rFonts w:eastAsia="Calibri" w:cs="Calibri"/>
              </w:rPr>
              <w:t>U</w:t>
            </w:r>
            <w:r w:rsidRPr="007902E3">
              <w:rPr>
                <w:rFonts w:eastAsia="Calibri" w:cs="Calibri"/>
              </w:rPr>
              <w:t xml:space="preserve"> uputama za Prijavitelje poglavlje 2.2.2, prihvatljivi partneri čl. VI. " lokalne akcijske grupe, a koje su upisane u Upisnik regionalnih koordinatora i lokalnih razvojnih agencija koji vodi Ministarstvo regionalnih razvoja i fondova Europske Unije" ako mi možete pojasniti, u vezi Upisnika, da li se to odnosi i na Lokalne akcijske grupe? Pošto nisam nikad čula za postojanje takvog upisnika za LAG-ove.</w:t>
            </w:r>
          </w:p>
        </w:tc>
        <w:tc>
          <w:tcPr>
            <w:tcW w:w="4297" w:type="dxa"/>
          </w:tcPr>
          <w:p w14:paraId="775B5111" w14:textId="1EEED816" w:rsidR="005C2A24" w:rsidRDefault="00064A09" w:rsidP="005C2A24">
            <w:pPr>
              <w:jc w:val="both"/>
              <w:rPr>
                <w:rFonts w:eastAsiaTheme="minorEastAsia"/>
              </w:rPr>
            </w:pPr>
            <w:r w:rsidRPr="00064A09">
              <w:rPr>
                <w:rFonts w:eastAsiaTheme="minorEastAsia"/>
              </w:rPr>
              <w:t>Upisnik regionalnih koordinatora i lokalnih razvojnih agencija</w:t>
            </w:r>
            <w:r>
              <w:rPr>
                <w:rFonts w:eastAsiaTheme="minorEastAsia"/>
              </w:rPr>
              <w:t xml:space="preserve"> vodi </w:t>
            </w:r>
            <w:r w:rsidRPr="00064A09">
              <w:rPr>
                <w:rFonts w:eastAsiaTheme="minorEastAsia"/>
              </w:rPr>
              <w:t>Ministarstvo regionalnog ra</w:t>
            </w:r>
            <w:r>
              <w:rPr>
                <w:rFonts w:eastAsiaTheme="minorEastAsia"/>
              </w:rPr>
              <w:t>zvoja i fondova Europske unije, koje u navedeni Upisnik</w:t>
            </w:r>
            <w:r>
              <w:t xml:space="preserve"> </w:t>
            </w:r>
            <w:r w:rsidRPr="00064A09">
              <w:rPr>
                <w:rFonts w:eastAsiaTheme="minorEastAsia"/>
              </w:rPr>
              <w:t>upisuje regionalnog koordinatora, odnosno lokalnu razvojnu agenci</w:t>
            </w:r>
            <w:r>
              <w:rPr>
                <w:rFonts w:eastAsiaTheme="minorEastAsia"/>
              </w:rPr>
              <w:t>ju i/ili lokalnu akcijsku grupu.</w:t>
            </w:r>
            <w:r w:rsidR="005C2A24">
              <w:rPr>
                <w:rFonts w:eastAsiaTheme="minorEastAsia"/>
              </w:rPr>
              <w:t xml:space="preserve"> Zahtjevi za upis podnose se na temelju</w:t>
            </w:r>
            <w:r>
              <w:t xml:space="preserve"> </w:t>
            </w:r>
            <w:r w:rsidR="005C2A24" w:rsidRPr="005C2A24">
              <w:t>Pravilnik</w:t>
            </w:r>
            <w:r w:rsidR="005C2A24">
              <w:t>a</w:t>
            </w:r>
            <w:r w:rsidR="005C2A24" w:rsidRPr="005C2A24">
              <w:t xml:space="preserve"> o Upisniku regionalnih koordinatora i lokalnih razvojnih agencija</w:t>
            </w:r>
            <w:r w:rsidR="005C2A24">
              <w:t xml:space="preserve"> (NN 24/2018, 13/2019).</w:t>
            </w:r>
          </w:p>
          <w:p w14:paraId="4136A193" w14:textId="77777777" w:rsidR="005C2A24" w:rsidRDefault="00064A09" w:rsidP="005C2A24">
            <w:pPr>
              <w:jc w:val="both"/>
              <w:rPr>
                <w:rFonts w:eastAsiaTheme="minorEastAsia"/>
              </w:rPr>
            </w:pPr>
            <w:r>
              <w:rPr>
                <w:rFonts w:eastAsiaTheme="minorEastAsia"/>
              </w:rPr>
              <w:t xml:space="preserve">Detaljnije informacije dostupne su na stranici </w:t>
            </w:r>
            <w:hyperlink r:id="rId8" w:history="1">
              <w:r w:rsidRPr="00EE3D80">
                <w:rPr>
                  <w:rStyle w:val="Hiperveza"/>
                  <w:rFonts w:eastAsiaTheme="minorEastAsia"/>
                </w:rPr>
                <w:t>https://razvoj.gov.hr/upisnik-regionalnih-koordinatora-i-lokalnih-razvojnih-agencija/4007</w:t>
              </w:r>
            </w:hyperlink>
            <w:r>
              <w:rPr>
                <w:rFonts w:eastAsiaTheme="minorEastAsia"/>
              </w:rPr>
              <w:t xml:space="preserve">. </w:t>
            </w:r>
          </w:p>
          <w:p w14:paraId="67E15207" w14:textId="77777777" w:rsidR="00822CCC" w:rsidRDefault="00822CCC" w:rsidP="005C2A24">
            <w:pPr>
              <w:jc w:val="both"/>
              <w:rPr>
                <w:rFonts w:eastAsiaTheme="minorEastAsia"/>
              </w:rPr>
            </w:pPr>
          </w:p>
          <w:p w14:paraId="4F6762AB" w14:textId="3AC33AC8" w:rsidR="00822CCC" w:rsidRPr="00FE01FF" w:rsidRDefault="00230031" w:rsidP="00230031">
            <w:pPr>
              <w:jc w:val="both"/>
              <w:rPr>
                <w:rFonts w:eastAsiaTheme="minorEastAsia"/>
              </w:rPr>
            </w:pPr>
            <w:r>
              <w:rPr>
                <w:rFonts w:eastAsiaTheme="minorEastAsia"/>
              </w:rPr>
              <w:t>Također, n</w:t>
            </w:r>
            <w:r w:rsidR="00822CCC">
              <w:rPr>
                <w:rFonts w:eastAsiaTheme="minorEastAsia"/>
              </w:rPr>
              <w:t xml:space="preserve">apominjemo da je sukladno točki 2.2.2. UZP-a </w:t>
            </w:r>
            <w:r>
              <w:rPr>
                <w:rFonts w:eastAsiaTheme="minorEastAsia"/>
              </w:rPr>
              <w:t xml:space="preserve">jedan od </w:t>
            </w:r>
            <w:r w:rsidR="00822CCC">
              <w:rPr>
                <w:rFonts w:eastAsiaTheme="minorEastAsia"/>
              </w:rPr>
              <w:t>prihvatljivi</w:t>
            </w:r>
            <w:r>
              <w:rPr>
                <w:rFonts w:eastAsiaTheme="minorEastAsia"/>
              </w:rPr>
              <w:t>h</w:t>
            </w:r>
            <w:r w:rsidR="00822CCC">
              <w:rPr>
                <w:rFonts w:eastAsiaTheme="minorEastAsia"/>
              </w:rPr>
              <w:t xml:space="preserve"> partner</w:t>
            </w:r>
            <w:r>
              <w:rPr>
                <w:rFonts w:eastAsiaTheme="minorEastAsia"/>
              </w:rPr>
              <w:t>a i</w:t>
            </w:r>
            <w:r w:rsidR="00822CCC">
              <w:rPr>
                <w:rFonts w:eastAsiaTheme="minorEastAsia"/>
              </w:rPr>
              <w:t xml:space="preserve"> </w:t>
            </w:r>
            <w:r w:rsidR="00822CCC" w:rsidRPr="00822CCC">
              <w:rPr>
                <w:rFonts w:eastAsiaTheme="minorEastAsia"/>
              </w:rPr>
              <w:t>udruga – osnovana i registrirana sukladno Zakonu o ud</w:t>
            </w:r>
            <w:r w:rsidR="00822CCC">
              <w:rPr>
                <w:rFonts w:eastAsiaTheme="minorEastAsia"/>
              </w:rPr>
              <w:t>rugama (NN 74/14, 70/17, 98/19) te se isto odnosi i na lokalnu akcijsku grupu (LAG), ukoliko je ist</w:t>
            </w:r>
            <w:r w:rsidR="00D543A0">
              <w:rPr>
                <w:rFonts w:eastAsiaTheme="minorEastAsia"/>
              </w:rPr>
              <w:t>a</w:t>
            </w:r>
            <w:r w:rsidR="00822CCC">
              <w:rPr>
                <w:rFonts w:eastAsiaTheme="minorEastAsia"/>
              </w:rPr>
              <w:t xml:space="preserve"> registriran</w:t>
            </w:r>
            <w:r w:rsidR="00E90CB5">
              <w:rPr>
                <w:rFonts w:eastAsiaTheme="minorEastAsia"/>
              </w:rPr>
              <w:t>a</w:t>
            </w:r>
            <w:r w:rsidR="00822CCC">
              <w:rPr>
                <w:rFonts w:eastAsiaTheme="minorEastAsia"/>
              </w:rPr>
              <w:t xml:space="preserve"> kao udruga, neovisno o upisu u </w:t>
            </w:r>
            <w:r w:rsidR="00822CCC" w:rsidRPr="00822CCC">
              <w:rPr>
                <w:rFonts w:eastAsiaTheme="minorEastAsia"/>
              </w:rPr>
              <w:t>Upisnik regionalnih koordinatora i lokalnih razvojnih agencija</w:t>
            </w:r>
            <w:r w:rsidR="00822CCC">
              <w:rPr>
                <w:rFonts w:eastAsiaTheme="minorEastAsia"/>
              </w:rPr>
              <w:t>.</w:t>
            </w:r>
          </w:p>
        </w:tc>
      </w:tr>
      <w:tr w:rsidR="4E76062A" w:rsidRPr="00EA6E76" w14:paraId="1875E45D" w14:textId="77777777" w:rsidTr="004C5BF4">
        <w:trPr>
          <w:jc w:val="center"/>
        </w:trPr>
        <w:tc>
          <w:tcPr>
            <w:tcW w:w="781" w:type="dxa"/>
          </w:tcPr>
          <w:p w14:paraId="1FC78D6A" w14:textId="6D67431F" w:rsidR="713B5ECC" w:rsidRPr="00EA6E76" w:rsidRDefault="713B5ECC" w:rsidP="6D4A2B6D">
            <w:pPr>
              <w:jc w:val="center"/>
              <w:rPr>
                <w:rFonts w:eastAsia="Calibri" w:cs="Times New Roman"/>
              </w:rPr>
            </w:pPr>
            <w:r w:rsidRPr="6D4A2B6D">
              <w:rPr>
                <w:rFonts w:eastAsia="Calibri" w:cs="Times New Roman"/>
              </w:rPr>
              <w:t>5.</w:t>
            </w:r>
          </w:p>
        </w:tc>
        <w:tc>
          <w:tcPr>
            <w:tcW w:w="4987" w:type="dxa"/>
          </w:tcPr>
          <w:p w14:paraId="0B917F89" w14:textId="0C137407" w:rsidR="007902E3" w:rsidRPr="007902E3" w:rsidRDefault="007902E3" w:rsidP="007902E3">
            <w:pPr>
              <w:rPr>
                <w:rFonts w:eastAsia="Calibri" w:cs="Calibri"/>
              </w:rPr>
            </w:pPr>
            <w:r w:rsidRPr="007902E3">
              <w:rPr>
                <w:rFonts w:eastAsia="Calibri" w:cs="Calibri"/>
              </w:rPr>
              <w:t xml:space="preserve">Ukoliko u projekt uključimo 10 osoba </w:t>
            </w:r>
            <w:proofErr w:type="spellStart"/>
            <w:r w:rsidRPr="007902E3">
              <w:rPr>
                <w:rFonts w:eastAsia="Calibri" w:cs="Calibri"/>
              </w:rPr>
              <w:t>neet</w:t>
            </w:r>
            <w:proofErr w:type="spellEnd"/>
            <w:r w:rsidRPr="007902E3">
              <w:rPr>
                <w:rFonts w:eastAsia="Calibri" w:cs="Calibri"/>
              </w:rPr>
              <w:t xml:space="preserve"> skupine, može li dio osoba završiti 2 verificirana programa (npr. polaganje vozačke dozvole i škola engleskog jezika), a dio osoba jedan program? </w:t>
            </w:r>
          </w:p>
          <w:p w14:paraId="67D66C2E" w14:textId="77777777" w:rsidR="007902E3" w:rsidRDefault="007902E3" w:rsidP="007902E3">
            <w:pPr>
              <w:rPr>
                <w:rFonts w:eastAsia="Calibri" w:cs="Calibri"/>
              </w:rPr>
            </w:pPr>
          </w:p>
          <w:p w14:paraId="7ADD30A5" w14:textId="77777777" w:rsidR="00427549" w:rsidRDefault="00427549" w:rsidP="007902E3">
            <w:pPr>
              <w:rPr>
                <w:rFonts w:eastAsia="Calibri" w:cs="Calibri"/>
              </w:rPr>
            </w:pPr>
          </w:p>
          <w:p w14:paraId="12A019AA" w14:textId="77777777" w:rsidR="00427549" w:rsidRDefault="00427549" w:rsidP="007902E3">
            <w:pPr>
              <w:rPr>
                <w:rFonts w:eastAsia="Calibri" w:cs="Calibri"/>
              </w:rPr>
            </w:pPr>
          </w:p>
          <w:p w14:paraId="23053BA4" w14:textId="77777777" w:rsidR="00427549" w:rsidRDefault="00427549" w:rsidP="007902E3">
            <w:pPr>
              <w:rPr>
                <w:rFonts w:eastAsia="Calibri" w:cs="Calibri"/>
              </w:rPr>
            </w:pPr>
          </w:p>
          <w:p w14:paraId="1ACDD4DA" w14:textId="77777777" w:rsidR="00427549" w:rsidRDefault="00427549" w:rsidP="007902E3">
            <w:pPr>
              <w:rPr>
                <w:rFonts w:eastAsia="Calibri" w:cs="Calibri"/>
              </w:rPr>
            </w:pPr>
          </w:p>
          <w:p w14:paraId="656B739A" w14:textId="77777777" w:rsidR="00427549" w:rsidRDefault="00427549" w:rsidP="007902E3">
            <w:pPr>
              <w:rPr>
                <w:rFonts w:eastAsia="Calibri" w:cs="Calibri"/>
              </w:rPr>
            </w:pPr>
          </w:p>
          <w:p w14:paraId="663ED4ED" w14:textId="77777777" w:rsidR="00427549" w:rsidRDefault="00427549" w:rsidP="007902E3">
            <w:pPr>
              <w:rPr>
                <w:rFonts w:eastAsia="Calibri" w:cs="Calibri"/>
              </w:rPr>
            </w:pPr>
          </w:p>
          <w:p w14:paraId="137B7D37" w14:textId="77777777" w:rsidR="00427549" w:rsidRDefault="00427549" w:rsidP="007902E3">
            <w:pPr>
              <w:rPr>
                <w:rFonts w:eastAsia="Calibri" w:cs="Calibri"/>
              </w:rPr>
            </w:pPr>
          </w:p>
          <w:p w14:paraId="037F56CA" w14:textId="77777777" w:rsidR="00427549" w:rsidRDefault="00427549" w:rsidP="007902E3">
            <w:pPr>
              <w:rPr>
                <w:rFonts w:eastAsia="Calibri" w:cs="Calibri"/>
              </w:rPr>
            </w:pPr>
          </w:p>
          <w:p w14:paraId="47313283" w14:textId="77777777" w:rsidR="00427549" w:rsidRDefault="00427549" w:rsidP="007902E3">
            <w:pPr>
              <w:rPr>
                <w:rFonts w:eastAsia="Calibri" w:cs="Calibri"/>
              </w:rPr>
            </w:pPr>
          </w:p>
          <w:p w14:paraId="456BAF18" w14:textId="77777777" w:rsidR="00427549" w:rsidRDefault="00427549" w:rsidP="007902E3">
            <w:pPr>
              <w:rPr>
                <w:rFonts w:eastAsia="Calibri" w:cs="Calibri"/>
              </w:rPr>
            </w:pPr>
          </w:p>
          <w:p w14:paraId="4F290DF3" w14:textId="77777777" w:rsidR="00427549" w:rsidRDefault="00427549" w:rsidP="007902E3">
            <w:pPr>
              <w:rPr>
                <w:rFonts w:eastAsia="Calibri" w:cs="Calibri"/>
              </w:rPr>
            </w:pPr>
          </w:p>
          <w:p w14:paraId="75090222" w14:textId="77777777" w:rsidR="00427549" w:rsidRDefault="00427549" w:rsidP="007902E3">
            <w:pPr>
              <w:rPr>
                <w:rFonts w:eastAsia="Calibri" w:cs="Calibri"/>
              </w:rPr>
            </w:pPr>
          </w:p>
          <w:p w14:paraId="75A3D0E7" w14:textId="77777777" w:rsidR="00427549" w:rsidRDefault="00427549" w:rsidP="007902E3">
            <w:pPr>
              <w:rPr>
                <w:rFonts w:eastAsia="Calibri" w:cs="Calibri"/>
              </w:rPr>
            </w:pPr>
          </w:p>
          <w:p w14:paraId="2892262E" w14:textId="77777777" w:rsidR="00427549" w:rsidRDefault="00427549" w:rsidP="007902E3">
            <w:pPr>
              <w:rPr>
                <w:rFonts w:eastAsia="Calibri" w:cs="Calibri"/>
              </w:rPr>
            </w:pPr>
          </w:p>
          <w:p w14:paraId="09CF7AB8" w14:textId="77777777" w:rsidR="00427549" w:rsidRDefault="00427549" w:rsidP="007902E3">
            <w:pPr>
              <w:rPr>
                <w:rFonts w:eastAsia="Calibri" w:cs="Calibri"/>
              </w:rPr>
            </w:pPr>
          </w:p>
          <w:p w14:paraId="77A3ADAC" w14:textId="77777777" w:rsidR="00427549" w:rsidRDefault="00427549" w:rsidP="007902E3">
            <w:pPr>
              <w:rPr>
                <w:rFonts w:eastAsia="Calibri" w:cs="Calibri"/>
              </w:rPr>
            </w:pPr>
          </w:p>
          <w:p w14:paraId="5D4A8E9A" w14:textId="77777777" w:rsidR="00427549" w:rsidRDefault="00427549" w:rsidP="007902E3">
            <w:pPr>
              <w:rPr>
                <w:rFonts w:eastAsia="Calibri" w:cs="Calibri"/>
              </w:rPr>
            </w:pPr>
          </w:p>
          <w:p w14:paraId="104D922C" w14:textId="77777777" w:rsidR="00427549" w:rsidRDefault="00427549" w:rsidP="007902E3">
            <w:pPr>
              <w:rPr>
                <w:rFonts w:eastAsia="Calibri" w:cs="Calibri"/>
              </w:rPr>
            </w:pPr>
          </w:p>
          <w:p w14:paraId="0AED6EDD" w14:textId="77777777" w:rsidR="00427549" w:rsidRDefault="00427549" w:rsidP="007902E3">
            <w:pPr>
              <w:rPr>
                <w:rFonts w:eastAsia="Calibri" w:cs="Calibri"/>
              </w:rPr>
            </w:pPr>
          </w:p>
          <w:p w14:paraId="51C2D5B2" w14:textId="77777777" w:rsidR="00427549" w:rsidRDefault="00427549" w:rsidP="007902E3">
            <w:pPr>
              <w:rPr>
                <w:rFonts w:eastAsia="Calibri" w:cs="Calibri"/>
              </w:rPr>
            </w:pPr>
          </w:p>
          <w:p w14:paraId="3A8CFD75" w14:textId="77777777" w:rsidR="00427549" w:rsidRPr="007902E3" w:rsidRDefault="00427549" w:rsidP="007902E3">
            <w:pPr>
              <w:rPr>
                <w:rFonts w:eastAsia="Calibri" w:cs="Calibri"/>
              </w:rPr>
            </w:pPr>
          </w:p>
          <w:p w14:paraId="2ADC4008" w14:textId="77777777" w:rsidR="00C32883" w:rsidRDefault="00C32883" w:rsidP="00146C2E">
            <w:pPr>
              <w:rPr>
                <w:rFonts w:eastAsia="Calibri" w:cs="Calibri"/>
              </w:rPr>
            </w:pPr>
          </w:p>
          <w:p w14:paraId="02DEBF3E" w14:textId="77777777" w:rsidR="00C32883" w:rsidRDefault="00C32883" w:rsidP="00146C2E">
            <w:pPr>
              <w:rPr>
                <w:rFonts w:eastAsia="Calibri" w:cs="Calibri"/>
              </w:rPr>
            </w:pPr>
          </w:p>
          <w:p w14:paraId="36B1861E" w14:textId="5E912FAC" w:rsidR="4E76062A" w:rsidRPr="00EA6E76" w:rsidRDefault="007902E3" w:rsidP="00146C2E">
            <w:pPr>
              <w:rPr>
                <w:rFonts w:ascii="Times New Roman" w:eastAsia="Times New Roman" w:hAnsi="Times New Roman" w:cs="Times New Roman"/>
                <w:sz w:val="24"/>
                <w:szCs w:val="24"/>
                <w:highlight w:val="yellow"/>
              </w:rPr>
            </w:pPr>
            <w:r w:rsidRPr="007902E3">
              <w:rPr>
                <w:rFonts w:eastAsia="Calibri" w:cs="Calibri"/>
              </w:rPr>
              <w:t>Je li prihvatljiva kupnja opreme novo zaposlenim osobama na projektu i osobama uključenim u projekt (</w:t>
            </w:r>
            <w:r w:rsidR="00146C2E">
              <w:rPr>
                <w:rFonts w:eastAsia="Calibri" w:cs="Calibri"/>
              </w:rPr>
              <w:t>NEET</w:t>
            </w:r>
            <w:r w:rsidRPr="007902E3">
              <w:rPr>
                <w:rFonts w:eastAsia="Calibri" w:cs="Calibri"/>
              </w:rPr>
              <w:t xml:space="preserve"> skupina), kao što su laptopi i mobiteli.</w:t>
            </w:r>
          </w:p>
        </w:tc>
        <w:tc>
          <w:tcPr>
            <w:tcW w:w="4297" w:type="dxa"/>
          </w:tcPr>
          <w:p w14:paraId="7219DBB7" w14:textId="77777777" w:rsidR="4E76062A" w:rsidRDefault="00427549" w:rsidP="00427549">
            <w:pPr>
              <w:jc w:val="both"/>
              <w:rPr>
                <w:rFonts w:eastAsiaTheme="minorEastAsia"/>
              </w:rPr>
            </w:pPr>
            <w:r w:rsidRPr="00427549">
              <w:rPr>
                <w:rFonts w:eastAsiaTheme="minorEastAsia"/>
              </w:rPr>
              <w:lastRenderedPageBreak/>
              <w:t>Uključivanje pripadnika ciljane skupine u verificirane programe obrazovanja odraslih je obavezna aktivnost.</w:t>
            </w:r>
            <w:r>
              <w:t xml:space="preserve"> </w:t>
            </w:r>
            <w:r w:rsidRPr="00427549">
              <w:rPr>
                <w:rFonts w:eastAsiaTheme="minorEastAsia"/>
              </w:rPr>
              <w:t xml:space="preserve">Kako je navedeno u Uputama za prijavitelje, točka 4.1.1. </w:t>
            </w:r>
            <w:r>
              <w:rPr>
                <w:rFonts w:eastAsiaTheme="minorEastAsia"/>
              </w:rPr>
              <w:t>v</w:t>
            </w:r>
            <w:r w:rsidRPr="00427549">
              <w:rPr>
                <w:rFonts w:eastAsiaTheme="minorEastAsia"/>
              </w:rPr>
              <w:t>ri</w:t>
            </w:r>
            <w:r>
              <w:rPr>
                <w:rFonts w:eastAsiaTheme="minorEastAsia"/>
              </w:rPr>
              <w:t xml:space="preserve">jednosti mjerljivih ishoda A.1., </w:t>
            </w:r>
            <w:r w:rsidRPr="00427549">
              <w:rPr>
                <w:rFonts w:eastAsiaTheme="minorEastAsia"/>
              </w:rPr>
              <w:t xml:space="preserve">A.2. i A.3. moraju biti istovjetne, što znači da pripadnik ciljane skupine mora biti uključen u aktivnosti </w:t>
            </w:r>
            <w:r w:rsidRPr="00427549">
              <w:rPr>
                <w:rFonts w:eastAsiaTheme="minorEastAsia"/>
              </w:rPr>
              <w:lastRenderedPageBreak/>
              <w:t>koje će rezultirati sa sva tri mjerljiva ishoda za svakog sudionika (pripadnika ciljane skupine), dakle svaki sudionik mora sudjelovati u svim aktivnostima svakog obveznog mjerljivog ishoda.</w:t>
            </w:r>
          </w:p>
          <w:p w14:paraId="650EE474" w14:textId="77777777" w:rsidR="00427549" w:rsidRDefault="00427549" w:rsidP="00427549">
            <w:pPr>
              <w:jc w:val="both"/>
              <w:rPr>
                <w:rFonts w:eastAsiaTheme="minorEastAsia"/>
              </w:rPr>
            </w:pPr>
          </w:p>
          <w:p w14:paraId="5E0AEBBC" w14:textId="310233F9" w:rsidR="00C32883" w:rsidRDefault="00427549" w:rsidP="00427549">
            <w:pPr>
              <w:jc w:val="both"/>
              <w:rPr>
                <w:rFonts w:eastAsiaTheme="minorEastAsia"/>
              </w:rPr>
            </w:pPr>
            <w:r>
              <w:rPr>
                <w:rFonts w:eastAsiaTheme="minorEastAsia"/>
              </w:rPr>
              <w:t>Dakle, važno je da je svaki sudionik (pripadnik ciljane skupine) uključen u neki verificirani program, no pored toga, Uputama za prijavitelje nije propisano ograničenje broja obrazovnih programa. Dakle,</w:t>
            </w:r>
            <w:r w:rsidRPr="00427549">
              <w:rPr>
                <w:rFonts w:eastAsiaTheme="minorEastAsia"/>
              </w:rPr>
              <w:t xml:space="preserve"> pripadnic</w:t>
            </w:r>
            <w:r>
              <w:rPr>
                <w:rFonts w:eastAsiaTheme="minorEastAsia"/>
              </w:rPr>
              <w:t>i</w:t>
            </w:r>
            <w:r w:rsidRPr="00427549">
              <w:rPr>
                <w:rFonts w:eastAsiaTheme="minorEastAsia"/>
              </w:rPr>
              <w:t xml:space="preserve"> ciljane skupine mogu sudjelovati i u više </w:t>
            </w:r>
            <w:r>
              <w:rPr>
                <w:rFonts w:eastAsiaTheme="minorEastAsia"/>
              </w:rPr>
              <w:t xml:space="preserve">verificiranih </w:t>
            </w:r>
            <w:r w:rsidRPr="00427549">
              <w:rPr>
                <w:rFonts w:eastAsiaTheme="minorEastAsia"/>
              </w:rPr>
              <w:t>programa obrazovanja.</w:t>
            </w:r>
          </w:p>
          <w:p w14:paraId="4CDA4B46" w14:textId="6937D969" w:rsidR="00C32883" w:rsidRDefault="00C32883" w:rsidP="00427549">
            <w:pPr>
              <w:jc w:val="both"/>
              <w:rPr>
                <w:rFonts w:eastAsiaTheme="minorEastAsia"/>
              </w:rPr>
            </w:pPr>
            <w:r>
              <w:rPr>
                <w:rFonts w:eastAsiaTheme="minorEastAsia"/>
              </w:rPr>
              <w:t xml:space="preserve">Napominjemo da se ishod </w:t>
            </w:r>
            <w:r w:rsidRPr="00B803F6">
              <w:rPr>
                <w:rFonts w:eastAsiaTheme="minorEastAsia"/>
                <w:i/>
              </w:rPr>
              <w:t>A.3. Broj pripadnika ciljane skupine uključenih u verificirane programe obrazovanja odraslih</w:t>
            </w:r>
            <w:r>
              <w:rPr>
                <w:rFonts w:eastAsiaTheme="minorEastAsia"/>
              </w:rPr>
              <w:t xml:space="preserve"> odnosi na broj različitih osoba, a ne na broj različitih programa koje su završili u sklopu projekta. </w:t>
            </w:r>
          </w:p>
          <w:p w14:paraId="37134F7D" w14:textId="77777777" w:rsidR="00427549" w:rsidRDefault="00427549" w:rsidP="00427549">
            <w:pPr>
              <w:jc w:val="both"/>
              <w:rPr>
                <w:rFonts w:eastAsiaTheme="minorEastAsia"/>
              </w:rPr>
            </w:pPr>
          </w:p>
          <w:p w14:paraId="23314E33" w14:textId="3C90A29C" w:rsidR="00FB1B2B" w:rsidRDefault="00FB1B2B" w:rsidP="00427549">
            <w:pPr>
              <w:jc w:val="both"/>
              <w:rPr>
                <w:rFonts w:eastAsiaTheme="minorEastAsia"/>
              </w:rPr>
            </w:pPr>
            <w:r>
              <w:rPr>
                <w:rFonts w:eastAsiaTheme="minorEastAsia"/>
              </w:rPr>
              <w:t>U</w:t>
            </w:r>
            <w:r w:rsidRPr="00FB1B2B">
              <w:rPr>
                <w:rFonts w:eastAsiaTheme="minorEastAsia"/>
              </w:rPr>
              <w:t xml:space="preserve"> skladu s Pravilnikom o prihvatljivosti izdataka u okviru Europskog socijalnog fonda </w:t>
            </w:r>
            <w:r>
              <w:rPr>
                <w:rFonts w:eastAsiaTheme="minorEastAsia"/>
              </w:rPr>
              <w:t>(NN 149/1412, 14/1613, 74/1614) te s</w:t>
            </w:r>
            <w:r w:rsidRPr="00FB1B2B">
              <w:rPr>
                <w:rFonts w:eastAsiaTheme="minorEastAsia"/>
              </w:rPr>
              <w:t>ukladno uvjetima Poziva</w:t>
            </w:r>
            <w:r>
              <w:rPr>
                <w:rFonts w:eastAsiaTheme="minorEastAsia"/>
              </w:rPr>
              <w:t xml:space="preserve">, kupnja opreme </w:t>
            </w:r>
            <w:r w:rsidRPr="00FB1B2B">
              <w:rPr>
                <w:rFonts w:eastAsiaTheme="minorEastAsia"/>
              </w:rPr>
              <w:t>koja se koristi u svrhu upravljanja projektom, a ne izravno za provedbu projektnih aktivnosti i ostvarenj</w:t>
            </w:r>
            <w:r>
              <w:rPr>
                <w:rFonts w:eastAsiaTheme="minorEastAsia"/>
              </w:rPr>
              <w:t>e</w:t>
            </w:r>
            <w:r w:rsidRPr="00FB1B2B">
              <w:rPr>
                <w:rFonts w:eastAsiaTheme="minorEastAsia"/>
              </w:rPr>
              <w:t xml:space="preserve"> rezultata u pogledu ciljane osobe</w:t>
            </w:r>
            <w:r>
              <w:rPr>
                <w:rFonts w:eastAsiaTheme="minorEastAsia"/>
              </w:rPr>
              <w:t>,</w:t>
            </w:r>
            <w:r w:rsidRPr="00FB1B2B">
              <w:rPr>
                <w:rFonts w:eastAsiaTheme="minorEastAsia"/>
              </w:rPr>
              <w:t xml:space="preserve"> nije prihvatljiv izdatak te navedeni trošak ne možete planirati u projektnom prijedlogu.</w:t>
            </w:r>
            <w:r w:rsidR="002F0BAE">
              <w:rPr>
                <w:rFonts w:eastAsiaTheme="minorEastAsia"/>
              </w:rPr>
              <w:t xml:space="preserve"> Ostala spomenuta oprema prihvatljiva je pod uvjetom da je</w:t>
            </w:r>
            <w:r w:rsidR="002F0BAE" w:rsidRPr="002F0BAE">
              <w:rPr>
                <w:rFonts w:eastAsiaTheme="minorEastAsia"/>
              </w:rPr>
              <w:t xml:space="preserve"> vezana izravno uz provedbu projektnih aktivnosti</w:t>
            </w:r>
            <w:r w:rsidR="002F0BAE">
              <w:rPr>
                <w:rFonts w:eastAsiaTheme="minorEastAsia"/>
              </w:rPr>
              <w:t>.</w:t>
            </w:r>
          </w:p>
          <w:p w14:paraId="4BE583F1" w14:textId="477209B5" w:rsidR="00427549" w:rsidRPr="00427549" w:rsidRDefault="00427549" w:rsidP="00B803F6">
            <w:pPr>
              <w:jc w:val="both"/>
              <w:rPr>
                <w:rFonts w:eastAsiaTheme="minorEastAsia"/>
              </w:rPr>
            </w:pPr>
          </w:p>
        </w:tc>
      </w:tr>
      <w:tr w:rsidR="16ED656E" w14:paraId="7F52E16D" w14:textId="77777777" w:rsidTr="004C5BF4">
        <w:trPr>
          <w:jc w:val="center"/>
        </w:trPr>
        <w:tc>
          <w:tcPr>
            <w:tcW w:w="781" w:type="dxa"/>
          </w:tcPr>
          <w:p w14:paraId="60298132" w14:textId="2D74F128" w:rsidR="489D80DC" w:rsidRDefault="489D80DC" w:rsidP="6D4A2B6D">
            <w:pPr>
              <w:jc w:val="center"/>
              <w:rPr>
                <w:rFonts w:eastAsia="Calibri" w:cs="Times New Roman"/>
              </w:rPr>
            </w:pPr>
            <w:r w:rsidRPr="6D4A2B6D">
              <w:rPr>
                <w:rFonts w:eastAsia="Calibri" w:cs="Times New Roman"/>
              </w:rPr>
              <w:lastRenderedPageBreak/>
              <w:t>6.</w:t>
            </w:r>
          </w:p>
        </w:tc>
        <w:tc>
          <w:tcPr>
            <w:tcW w:w="4987" w:type="dxa"/>
          </w:tcPr>
          <w:p w14:paraId="3EF8798E" w14:textId="78DE6750" w:rsidR="00146C2E" w:rsidRPr="00146C2E" w:rsidRDefault="002F0BAE" w:rsidP="00146C2E">
            <w:pPr>
              <w:jc w:val="both"/>
              <w:rPr>
                <w:rFonts w:eastAsia="Calibri" w:cs="Calibri"/>
              </w:rPr>
            </w:pPr>
            <w:r>
              <w:rPr>
                <w:rFonts w:eastAsia="Calibri" w:cs="Calibri"/>
              </w:rPr>
              <w:t>P</w:t>
            </w:r>
            <w:r w:rsidR="00146C2E" w:rsidRPr="00146C2E">
              <w:rPr>
                <w:rFonts w:eastAsia="Calibri" w:cs="Calibri"/>
              </w:rPr>
              <w:t xml:space="preserve">itanje koje postavljamo odnosi se na nadopunu od 22. 7. 2020. i slajd 6 u prezentaciji. Na slajdu se navodi da osobe u NEET statusu u aktivnostima između ostaloga ako žele sudjelovati u projektnim aktivnostima ne smiju biti u evidenciji HZZ-a u zadnja 4 mjeseca prije ulaska u projektne aktivnosti. </w:t>
            </w:r>
          </w:p>
          <w:p w14:paraId="5D5C1DB1" w14:textId="77777777" w:rsidR="00146C2E" w:rsidRPr="00146C2E" w:rsidRDefault="00146C2E" w:rsidP="00146C2E">
            <w:pPr>
              <w:jc w:val="both"/>
              <w:rPr>
                <w:rFonts w:eastAsia="Calibri" w:cs="Calibri"/>
              </w:rPr>
            </w:pPr>
          </w:p>
          <w:p w14:paraId="08B388FF" w14:textId="31EBF8BA" w:rsidR="16ED656E" w:rsidRPr="00146C2E" w:rsidRDefault="00146C2E" w:rsidP="00146C2E">
            <w:pPr>
              <w:jc w:val="both"/>
              <w:rPr>
                <w:rFonts w:eastAsia="Calibri" w:cs="Calibri"/>
              </w:rPr>
            </w:pPr>
            <w:r w:rsidRPr="00146C2E">
              <w:rPr>
                <w:rFonts w:eastAsia="Calibri" w:cs="Calibri"/>
              </w:rPr>
              <w:t xml:space="preserve">Naime, u svom radu susrećemo se s beskućnicima u NEET statusu (jedna od skupina osoba koje su najudaljenije od tržišta rada). Problem je sljedeći, jedan dio mladih beskućnika koji ne rade, nisu u sustavu redovitog obrazovanja, nisu u sustavu obrazovanja odraslih te nemaju smještaj, moraju da bi ostvarili pravo na zajamčenu minimalnu naknadu (900,00 kn mjesečno) preko Centara za socijalnu skrb, biti prijavljeni na Hrvatski zavod za </w:t>
            </w:r>
            <w:r w:rsidRPr="00146C2E">
              <w:rPr>
                <w:rFonts w:eastAsia="Calibri" w:cs="Calibri"/>
              </w:rPr>
              <w:lastRenderedPageBreak/>
              <w:t>zapošljavanje, što ih u slučaju ovog poziva isključuje kao ciljanu skupinu. Molimo razmotrite navedene okolnosti i mogućnost uključivanja tih osoba u projektne aktivnosti.</w:t>
            </w:r>
          </w:p>
        </w:tc>
        <w:tc>
          <w:tcPr>
            <w:tcW w:w="4297" w:type="dxa"/>
          </w:tcPr>
          <w:p w14:paraId="194D67D8" w14:textId="77777777" w:rsidR="00B15C33" w:rsidRPr="009703B4" w:rsidRDefault="00B15C33" w:rsidP="00B15C33">
            <w:pPr>
              <w:jc w:val="both"/>
              <w:rPr>
                <w:rFonts w:eastAsia="Calibri" w:cs="Calibri"/>
              </w:rPr>
            </w:pPr>
            <w:r>
              <w:rPr>
                <w:rFonts w:eastAsia="Calibri" w:cs="Calibri"/>
              </w:rPr>
              <w:lastRenderedPageBreak/>
              <w:t xml:space="preserve">Poziv </w:t>
            </w:r>
            <w:r w:rsidRPr="004A3974">
              <w:rPr>
                <w:rFonts w:eastAsia="Calibri" w:cs="Calibri"/>
              </w:rPr>
              <w:t xml:space="preserve">„Pronađi me!“ </w:t>
            </w:r>
            <w:r>
              <w:rPr>
                <w:rFonts w:eastAsia="Calibri" w:cs="Calibri"/>
              </w:rPr>
              <w:t xml:space="preserve">usmjeren je na mlade neaktivne osobe u NEET statusu. NEET status odnosi se na osobe koje ne rade, nisu u sustavu redovitog obrazovanja te nisu </w:t>
            </w:r>
            <w:r w:rsidRPr="00F94F76">
              <w:rPr>
                <w:rFonts w:eastAsia="Calibri" w:cs="Calibri"/>
              </w:rPr>
              <w:t xml:space="preserve">u sustavu obrazovanja odraslih. No, unutar te skupine, ovaj Poziv usmjeren je </w:t>
            </w:r>
            <w:r>
              <w:rPr>
                <w:rFonts w:eastAsia="Calibri" w:cs="Calibri"/>
              </w:rPr>
              <w:t xml:space="preserve">ciljano </w:t>
            </w:r>
            <w:r w:rsidRPr="00F94F76">
              <w:rPr>
                <w:rFonts w:eastAsia="Calibri" w:cs="Calibri"/>
              </w:rPr>
              <w:t xml:space="preserve">na neaktivne osobe, dakle, one koje nemaju posao niti su registrirane u evidenciji </w:t>
            </w:r>
            <w:r w:rsidRPr="009703B4">
              <w:rPr>
                <w:rFonts w:eastAsia="Calibri" w:cs="Calibri"/>
              </w:rPr>
              <w:t>nezaposlenih osoba Hrvatskog zavoda za zapošljavanje.</w:t>
            </w:r>
          </w:p>
          <w:p w14:paraId="49959645" w14:textId="77777777" w:rsidR="00B15C33" w:rsidRPr="009703B4" w:rsidRDefault="00B15C33" w:rsidP="00B15C33">
            <w:pPr>
              <w:jc w:val="both"/>
              <w:rPr>
                <w:rFonts w:eastAsia="Calibri" w:cs="Calibri"/>
              </w:rPr>
            </w:pPr>
            <w:r w:rsidRPr="009703B4">
              <w:rPr>
                <w:rFonts w:eastAsia="Calibri" w:cs="Calibri"/>
              </w:rPr>
              <w:t xml:space="preserve">Ovaj Poziv komplementaran je Preporuci Vijeća EU o uspostavi Garancije za mlade. Uspostavom Garancije za mlade nastoji se spriječiti ulazak mlade osobe u NEET status, odnosno nastoji se potaknuti uspostava takvog sustava podrške koji će omogućiti da </w:t>
            </w:r>
            <w:r w:rsidRPr="009703B4">
              <w:rPr>
                <w:rFonts w:eastAsia="Calibri" w:cs="Calibri"/>
              </w:rPr>
              <w:lastRenderedPageBreak/>
              <w:t>sve osobe mlađe od 25 godina (odnosno, u RH mlađe od 30 godina) dobiju kvalitetnu ponudu za posao, nastavak obrazovanja, naukovanje ili pripravništvo u roku od četiri mjeseca od gubitka radnog mjesta ili prestanka formalnog obrazovanja. Mlade NEET osobe trebaju biti registrirane pri evidenciji Hrvatskog zavoda za zapošljavanje kako bi bile uključene u mjere Garancije za mlade.</w:t>
            </w:r>
          </w:p>
          <w:p w14:paraId="3DEDA0DD" w14:textId="0C742078" w:rsidR="00B15C33" w:rsidRDefault="00B15C33" w:rsidP="00B15C33">
            <w:pPr>
              <w:jc w:val="both"/>
              <w:rPr>
                <w:rFonts w:eastAsia="Calibri" w:cs="Calibri"/>
              </w:rPr>
            </w:pPr>
            <w:r w:rsidRPr="009703B4">
              <w:rPr>
                <w:rFonts w:eastAsia="Calibri" w:cs="Calibri"/>
              </w:rPr>
              <w:t xml:space="preserve">Osobe koje su 4 mjeseca prije uključivanja u projektne aktivnosti u okviru ovog Poziva bile u evidenciji nezaposlenih osoba pri Hrvatskom zavodu za zapošljavanje </w:t>
            </w:r>
            <w:r>
              <w:rPr>
                <w:rFonts w:eastAsia="Calibri" w:cs="Calibri"/>
              </w:rPr>
              <w:t>nisu ciljana skupina ovog Poziva. S takvim osobama</w:t>
            </w:r>
            <w:r w:rsidRPr="004D2AD3">
              <w:rPr>
                <w:rFonts w:eastAsia="Calibri" w:cs="Calibri"/>
              </w:rPr>
              <w:t xml:space="preserve"> HZZ </w:t>
            </w:r>
            <w:r>
              <w:rPr>
                <w:rFonts w:eastAsia="Calibri" w:cs="Calibri"/>
              </w:rPr>
              <w:t xml:space="preserve">je </w:t>
            </w:r>
            <w:r w:rsidRPr="004D2AD3">
              <w:rPr>
                <w:rFonts w:eastAsia="Calibri" w:cs="Calibri"/>
              </w:rPr>
              <w:t>provodi</w:t>
            </w:r>
            <w:r>
              <w:rPr>
                <w:rFonts w:eastAsia="Calibri" w:cs="Calibri"/>
              </w:rPr>
              <w:t xml:space="preserve">o svoje redovne aktivnosti, poput </w:t>
            </w:r>
            <w:r w:rsidRPr="004D2AD3">
              <w:rPr>
                <w:rFonts w:eastAsia="Calibri" w:cs="Calibri"/>
              </w:rPr>
              <w:t>redovn</w:t>
            </w:r>
            <w:r>
              <w:rPr>
                <w:rFonts w:eastAsia="Calibri" w:cs="Calibri"/>
              </w:rPr>
              <w:t>ih</w:t>
            </w:r>
            <w:r w:rsidRPr="004D2AD3">
              <w:rPr>
                <w:rFonts w:eastAsia="Calibri" w:cs="Calibri"/>
              </w:rPr>
              <w:t xml:space="preserve"> individualn</w:t>
            </w:r>
            <w:r>
              <w:rPr>
                <w:rFonts w:eastAsia="Calibri" w:cs="Calibri"/>
              </w:rPr>
              <w:t>ih</w:t>
            </w:r>
            <w:r w:rsidRPr="004D2AD3">
              <w:rPr>
                <w:rFonts w:eastAsia="Calibri" w:cs="Calibri"/>
              </w:rPr>
              <w:t xml:space="preserve"> savjetovanja</w:t>
            </w:r>
            <w:r>
              <w:rPr>
                <w:rFonts w:eastAsia="Calibri" w:cs="Calibri"/>
              </w:rPr>
              <w:t xml:space="preserve">, upućivanja na posao, uključivanja u različite radionice (pisanje životopisa, </w:t>
            </w:r>
            <w:r w:rsidRPr="009703B4">
              <w:rPr>
                <w:rFonts w:eastAsia="Calibri" w:cs="Calibri"/>
              </w:rPr>
              <w:t xml:space="preserve">itd.) te takve osobe aktivno traže posao. </w:t>
            </w:r>
          </w:p>
          <w:p w14:paraId="3A02AF6C" w14:textId="5C573D69" w:rsidR="00B15C33" w:rsidRDefault="00B15C33" w:rsidP="00B15C33">
            <w:pPr>
              <w:jc w:val="both"/>
              <w:rPr>
                <w:rFonts w:eastAsia="Calibri" w:cs="Calibri"/>
              </w:rPr>
            </w:pPr>
            <w:r>
              <w:rPr>
                <w:rFonts w:eastAsia="Calibri" w:cs="Calibri"/>
              </w:rPr>
              <w:t>Dakle, mladim beskućnicima u NEET statusu, a koji su već prijavljeni u evidenciji nezaposlenih Hrvatskog zavoda za zapošljavanje, mogu se u okviru aktivnosti HZZ-a pružati usluge individualnih savjetovanja, grupnog informiranja,</w:t>
            </w:r>
            <w:r w:rsidR="002761A4">
              <w:rPr>
                <w:rFonts w:eastAsia="Calibri" w:cs="Calibri"/>
              </w:rPr>
              <w:t xml:space="preserve"> upućivanje u obrazovanje,</w:t>
            </w:r>
            <w:r>
              <w:rPr>
                <w:rFonts w:eastAsia="Calibri" w:cs="Calibri"/>
              </w:rPr>
              <w:t xml:space="preserve"> itd., odnosno slične usluge koje su predviđene ovim Pozivom, te ih se uključivati u mjere Garancije za mlade</w:t>
            </w:r>
            <w:r w:rsidR="002761A4">
              <w:rPr>
                <w:rFonts w:eastAsia="Calibri" w:cs="Calibri"/>
              </w:rPr>
              <w:t xml:space="preserve"> (GZM)</w:t>
            </w:r>
            <w:r>
              <w:rPr>
                <w:rFonts w:eastAsia="Calibri" w:cs="Calibri"/>
              </w:rPr>
              <w:t xml:space="preserve">, budući je preduvjet za uključivanje </w:t>
            </w:r>
            <w:r w:rsidR="00D44562">
              <w:rPr>
                <w:rFonts w:eastAsia="Calibri" w:cs="Calibri"/>
              </w:rPr>
              <w:t>u mjere GZM registriranost u evidenciji nezaposlenih.</w:t>
            </w:r>
          </w:p>
          <w:p w14:paraId="30A3CC9F" w14:textId="04F81FEE" w:rsidR="002F20AB" w:rsidRDefault="00B15C33" w:rsidP="00B15C33">
            <w:pPr>
              <w:jc w:val="both"/>
              <w:rPr>
                <w:rFonts w:eastAsia="Calibri" w:cs="Calibri"/>
              </w:rPr>
            </w:pPr>
            <w:r w:rsidRPr="009703B4">
              <w:rPr>
                <w:rFonts w:eastAsia="Calibri" w:cs="Calibri"/>
              </w:rPr>
              <w:t xml:space="preserve">Od 2014. godine, kao početne godine provedbe Garancije za mlade, do danas, Republika Hrvatska provodila je većinom mjere za registrirane nezaposlene NEET osobe, odnosno za one mlade koji se prijavljuju u evidenciju Hrvatskog zavoda za zapošljavanje. Ovim Pozivom </w:t>
            </w:r>
            <w:r>
              <w:rPr>
                <w:rFonts w:eastAsia="Calibri" w:cs="Calibri"/>
              </w:rPr>
              <w:t xml:space="preserve">žele se omogućiti </w:t>
            </w:r>
            <w:r w:rsidRPr="00210572">
              <w:rPr>
                <w:rFonts w:eastAsia="Calibri" w:cs="Calibri"/>
              </w:rPr>
              <w:t>intervencij</w:t>
            </w:r>
            <w:r>
              <w:rPr>
                <w:rFonts w:eastAsia="Calibri" w:cs="Calibri"/>
              </w:rPr>
              <w:t>e</w:t>
            </w:r>
            <w:r w:rsidRPr="00210572">
              <w:rPr>
                <w:rFonts w:eastAsia="Calibri" w:cs="Calibri"/>
              </w:rPr>
              <w:t xml:space="preserve"> usmjeren</w:t>
            </w:r>
            <w:r>
              <w:rPr>
                <w:rFonts w:eastAsia="Calibri" w:cs="Calibri"/>
              </w:rPr>
              <w:t>e</w:t>
            </w:r>
            <w:r w:rsidRPr="00210572">
              <w:rPr>
                <w:rFonts w:eastAsia="Calibri" w:cs="Calibri"/>
              </w:rPr>
              <w:t xml:space="preserve"> na aktivaciju mladih </w:t>
            </w:r>
            <w:r w:rsidRPr="00210572">
              <w:rPr>
                <w:rFonts w:eastAsia="Calibri" w:cs="Calibri"/>
                <w:u w:val="single"/>
              </w:rPr>
              <w:t>neaktivnih</w:t>
            </w:r>
            <w:r w:rsidRPr="00210572">
              <w:rPr>
                <w:rFonts w:eastAsia="Calibri" w:cs="Calibri"/>
              </w:rPr>
              <w:t xml:space="preserve"> </w:t>
            </w:r>
            <w:r>
              <w:rPr>
                <w:rFonts w:eastAsia="Calibri" w:cs="Calibri"/>
              </w:rPr>
              <w:t xml:space="preserve">NEET </w:t>
            </w:r>
            <w:r w:rsidRPr="00210572">
              <w:rPr>
                <w:rFonts w:eastAsia="Calibri" w:cs="Calibri"/>
              </w:rPr>
              <w:t>osoba</w:t>
            </w:r>
            <w:r>
              <w:rPr>
                <w:rFonts w:eastAsia="Calibri" w:cs="Calibri"/>
              </w:rPr>
              <w:t>, s obzirom na potrebu podrške mladim osobama koje su najudaljenije</w:t>
            </w:r>
            <w:r w:rsidRPr="00210572">
              <w:rPr>
                <w:rFonts w:eastAsia="Calibri" w:cs="Calibri"/>
              </w:rPr>
              <w:t xml:space="preserve"> od tržišta rada</w:t>
            </w:r>
            <w:r>
              <w:t xml:space="preserve"> </w:t>
            </w:r>
            <w:r w:rsidRPr="00210572">
              <w:rPr>
                <w:rFonts w:eastAsia="Calibri" w:cs="Calibri"/>
              </w:rPr>
              <w:t xml:space="preserve">te </w:t>
            </w:r>
            <w:r>
              <w:rPr>
                <w:rFonts w:eastAsia="Calibri" w:cs="Calibri"/>
              </w:rPr>
              <w:t>potrebu snažnijeg</w:t>
            </w:r>
            <w:r w:rsidRPr="00210572">
              <w:rPr>
                <w:rFonts w:eastAsia="Calibri" w:cs="Calibri"/>
              </w:rPr>
              <w:t xml:space="preserve"> angažman</w:t>
            </w:r>
            <w:r>
              <w:rPr>
                <w:rFonts w:eastAsia="Calibri" w:cs="Calibri"/>
              </w:rPr>
              <w:t>a</w:t>
            </w:r>
            <w:r w:rsidRPr="00210572">
              <w:rPr>
                <w:rFonts w:eastAsia="Calibri" w:cs="Calibri"/>
              </w:rPr>
              <w:t xml:space="preserve"> u radu s mladim neregistriranim NEET osobama</w:t>
            </w:r>
            <w:r>
              <w:rPr>
                <w:rFonts w:eastAsia="Calibri" w:cs="Calibri"/>
              </w:rPr>
              <w:t xml:space="preserve">. </w:t>
            </w:r>
            <w:r w:rsidRPr="00210572">
              <w:rPr>
                <w:rFonts w:eastAsia="Calibri" w:cs="Calibri"/>
              </w:rPr>
              <w:t xml:space="preserve">Aktivnostima u okviru ovog Poziva, prvi puta se financiraju takve aktivnosti za mlade neaktivne NEET osobe </w:t>
            </w:r>
            <w:r>
              <w:rPr>
                <w:rFonts w:eastAsia="Calibri" w:cs="Calibri"/>
              </w:rPr>
              <w:t xml:space="preserve">u Hrvatskoj, a </w:t>
            </w:r>
            <w:r w:rsidRPr="00210572">
              <w:rPr>
                <w:rFonts w:eastAsia="Calibri" w:cs="Calibri"/>
              </w:rPr>
              <w:t xml:space="preserve">kako bi se kroz obuhvatniji pristup olakšao njihov </w:t>
            </w:r>
            <w:r w:rsidRPr="00210572">
              <w:rPr>
                <w:rFonts w:eastAsia="Calibri" w:cs="Calibri"/>
              </w:rPr>
              <w:lastRenderedPageBreak/>
              <w:t>ulazak na tržište rada te potaklo njihovo uključivanje u postojeće mjere koje se nude za mlade ili daljnje obrazovanje i osposobljavanje</w:t>
            </w:r>
            <w:r>
              <w:rPr>
                <w:rFonts w:eastAsia="Calibri" w:cs="Calibri"/>
              </w:rPr>
              <w:t>.</w:t>
            </w:r>
          </w:p>
        </w:tc>
      </w:tr>
      <w:tr w:rsidR="00A92771" w14:paraId="2C1B52C4" w14:textId="77777777" w:rsidTr="004C5BF4">
        <w:trPr>
          <w:jc w:val="center"/>
        </w:trPr>
        <w:tc>
          <w:tcPr>
            <w:tcW w:w="781" w:type="dxa"/>
          </w:tcPr>
          <w:p w14:paraId="551AA493" w14:textId="2F42E2F9" w:rsidR="00A92771" w:rsidRPr="6D4A2B6D" w:rsidRDefault="00A92771" w:rsidP="6D4A2B6D">
            <w:pPr>
              <w:jc w:val="center"/>
              <w:rPr>
                <w:rFonts w:eastAsia="Calibri" w:cs="Times New Roman"/>
              </w:rPr>
            </w:pPr>
            <w:r>
              <w:rPr>
                <w:rFonts w:eastAsia="Calibri" w:cs="Times New Roman"/>
              </w:rPr>
              <w:lastRenderedPageBreak/>
              <w:t>7.</w:t>
            </w:r>
          </w:p>
        </w:tc>
        <w:tc>
          <w:tcPr>
            <w:tcW w:w="4987" w:type="dxa"/>
          </w:tcPr>
          <w:p w14:paraId="7CB22CB7" w14:textId="0D9E66D7" w:rsidR="00A92771" w:rsidRPr="00A92771" w:rsidRDefault="00A92771" w:rsidP="00A92771">
            <w:pPr>
              <w:jc w:val="both"/>
              <w:rPr>
                <w:rFonts w:eastAsia="Calibri" w:cs="Calibri"/>
              </w:rPr>
            </w:pPr>
            <w:r w:rsidRPr="00A92771">
              <w:rPr>
                <w:rFonts w:eastAsia="Calibri" w:cs="Calibri"/>
              </w:rPr>
              <w:t>Mogu li polaznici pohađati verificirani program k</w:t>
            </w:r>
            <w:r>
              <w:rPr>
                <w:rFonts w:eastAsia="Calibri" w:cs="Calibri"/>
              </w:rPr>
              <w:t>oji je u razvoju koji će naposl</w:t>
            </w:r>
            <w:r w:rsidRPr="00A92771">
              <w:rPr>
                <w:rFonts w:eastAsia="Calibri" w:cs="Calibri"/>
              </w:rPr>
              <w:t>jetku biti verificiran i za koji će polaznici dobiti certifikat?</w:t>
            </w:r>
          </w:p>
          <w:p w14:paraId="7A286E58" w14:textId="10DC05B9" w:rsidR="00A92771" w:rsidRPr="00146C2E" w:rsidRDefault="00A92771" w:rsidP="00A92771">
            <w:pPr>
              <w:jc w:val="both"/>
              <w:rPr>
                <w:rFonts w:eastAsia="Calibri" w:cs="Calibri"/>
              </w:rPr>
            </w:pPr>
            <w:r w:rsidRPr="00A92771">
              <w:rPr>
                <w:rFonts w:eastAsia="Calibri" w:cs="Calibri"/>
              </w:rPr>
              <w:t>Može li se za taj program nab</w:t>
            </w:r>
            <w:r>
              <w:rPr>
                <w:rFonts w:eastAsia="Calibri" w:cs="Calibri"/>
              </w:rPr>
              <w:t>av</w:t>
            </w:r>
            <w:r w:rsidRPr="00A92771">
              <w:rPr>
                <w:rFonts w:eastAsia="Calibri" w:cs="Calibri"/>
              </w:rPr>
              <w:t>iti oprema?</w:t>
            </w:r>
          </w:p>
        </w:tc>
        <w:tc>
          <w:tcPr>
            <w:tcW w:w="4297" w:type="dxa"/>
          </w:tcPr>
          <w:p w14:paraId="0EC0EE3B" w14:textId="4AEE74D9" w:rsidR="00EA5A40" w:rsidRDefault="00EA5A40" w:rsidP="00EA5A40">
            <w:pPr>
              <w:jc w:val="both"/>
              <w:rPr>
                <w:rFonts w:eastAsia="Calibri" w:cs="Calibri"/>
              </w:rPr>
            </w:pPr>
            <w:r w:rsidRPr="00EA5A40">
              <w:rPr>
                <w:rFonts w:eastAsia="Calibri" w:cs="Calibri"/>
              </w:rPr>
              <w:t>Uključivanje pripadnika ciljane skupine u verificirane programe obrazovanja</w:t>
            </w:r>
            <w:r>
              <w:rPr>
                <w:rFonts w:eastAsia="Calibri" w:cs="Calibri"/>
              </w:rPr>
              <w:t xml:space="preserve"> odraslih je obavezna aktivnost, odnosno aktivnost povezana s obveznim </w:t>
            </w:r>
            <w:r w:rsidRPr="00EA5A40">
              <w:rPr>
                <w:rFonts w:eastAsia="Calibri" w:cs="Calibri"/>
              </w:rPr>
              <w:t>mjerljivi</w:t>
            </w:r>
            <w:r>
              <w:rPr>
                <w:rFonts w:eastAsia="Calibri" w:cs="Calibri"/>
              </w:rPr>
              <w:t>m</w:t>
            </w:r>
            <w:r w:rsidRPr="00EA5A40">
              <w:rPr>
                <w:rFonts w:eastAsia="Calibri" w:cs="Calibri"/>
              </w:rPr>
              <w:t xml:space="preserve"> ishod</w:t>
            </w:r>
            <w:r>
              <w:rPr>
                <w:rFonts w:eastAsia="Calibri" w:cs="Calibri"/>
              </w:rPr>
              <w:t>om</w:t>
            </w:r>
            <w:r w:rsidRPr="00EA5A40">
              <w:rPr>
                <w:rFonts w:eastAsia="Calibri" w:cs="Calibri"/>
              </w:rPr>
              <w:t xml:space="preserve"> </w:t>
            </w:r>
            <w:r w:rsidRPr="00B803F6">
              <w:rPr>
                <w:rFonts w:eastAsia="Calibri" w:cs="Calibri"/>
                <w:i/>
              </w:rPr>
              <w:t>A.3. Broj pripadnika ciljane skupine uključenih u verificirane programe obrazovanja odraslih</w:t>
            </w:r>
            <w:r>
              <w:rPr>
                <w:rFonts w:eastAsia="Calibri" w:cs="Calibri"/>
              </w:rPr>
              <w:t>.</w:t>
            </w:r>
            <w:r w:rsidR="00D82DE6">
              <w:rPr>
                <w:rFonts w:eastAsia="Calibri" w:cs="Calibri"/>
              </w:rPr>
              <w:t xml:space="preserve"> Prema tome, pripadnici ciljne skupine moraju biti uključeni u verificirane programe, te za njih treba biti dostavljena</w:t>
            </w:r>
            <w:r>
              <w:t xml:space="preserve">  </w:t>
            </w:r>
            <w:r>
              <w:rPr>
                <w:rFonts w:eastAsia="Calibri" w:cs="Calibri"/>
              </w:rPr>
              <w:t>j</w:t>
            </w:r>
            <w:r w:rsidRPr="00EA5A40">
              <w:rPr>
                <w:rFonts w:eastAsia="Calibri" w:cs="Calibri"/>
              </w:rPr>
              <w:t>avna isprava o završenom verificiranom programu obrazovanj</w:t>
            </w:r>
            <w:r w:rsidR="00D82DE6">
              <w:rPr>
                <w:rFonts w:eastAsia="Calibri" w:cs="Calibri"/>
              </w:rPr>
              <w:t>a kao d</w:t>
            </w:r>
            <w:r w:rsidR="00D82DE6" w:rsidRPr="00EA5A40">
              <w:rPr>
                <w:rFonts w:eastAsia="Calibri" w:cs="Calibri"/>
              </w:rPr>
              <w:t xml:space="preserve">okaz postignuća </w:t>
            </w:r>
            <w:r w:rsidR="00D82DE6">
              <w:rPr>
                <w:rFonts w:eastAsia="Calibri" w:cs="Calibri"/>
              </w:rPr>
              <w:t>navedenog mjerljivog ishoda.</w:t>
            </w:r>
          </w:p>
          <w:p w14:paraId="5CAA569D" w14:textId="0DC9AAB7" w:rsidR="00D82DE6" w:rsidRDefault="00D82DE6" w:rsidP="00EA5A40">
            <w:pPr>
              <w:jc w:val="both"/>
            </w:pPr>
          </w:p>
          <w:p w14:paraId="7C1E2917" w14:textId="7611406C" w:rsidR="00EA5A40" w:rsidRDefault="00D82DE6">
            <w:pPr>
              <w:jc w:val="both"/>
              <w:rPr>
                <w:rFonts w:eastAsia="Calibri" w:cs="Calibri"/>
              </w:rPr>
            </w:pPr>
            <w:r>
              <w:t>Svi ostali prihvatljivi troškovi projekta koji nisu izravni troškovi osoblja izračunavaju se na temelju primjene fiksne stope od 40% izravnih troškova osoblja, a pri kupovini opreme nije dozvoljena kupovina rabljene opreme niti opreme koja se koristi za upravljanje projektom i administraciju.</w:t>
            </w:r>
          </w:p>
        </w:tc>
      </w:tr>
      <w:tr w:rsidR="004B1815" w14:paraId="1EA1B84D" w14:textId="77777777" w:rsidTr="004C5BF4">
        <w:trPr>
          <w:jc w:val="center"/>
        </w:trPr>
        <w:tc>
          <w:tcPr>
            <w:tcW w:w="781" w:type="dxa"/>
          </w:tcPr>
          <w:p w14:paraId="36039C67" w14:textId="6DB1470E" w:rsidR="004B1815" w:rsidRDefault="004B1815" w:rsidP="6D4A2B6D">
            <w:pPr>
              <w:jc w:val="center"/>
              <w:rPr>
                <w:rFonts w:eastAsia="Calibri" w:cs="Times New Roman"/>
              </w:rPr>
            </w:pPr>
            <w:r>
              <w:rPr>
                <w:rFonts w:eastAsia="Calibri" w:cs="Times New Roman"/>
              </w:rPr>
              <w:t>8.</w:t>
            </w:r>
          </w:p>
        </w:tc>
        <w:tc>
          <w:tcPr>
            <w:tcW w:w="4987" w:type="dxa"/>
          </w:tcPr>
          <w:p w14:paraId="431BA986" w14:textId="77777777" w:rsidR="004B1815" w:rsidRPr="004B1815" w:rsidRDefault="004B1815" w:rsidP="004B1815">
            <w:pPr>
              <w:jc w:val="both"/>
              <w:rPr>
                <w:rFonts w:eastAsia="Calibri" w:cs="Calibri"/>
              </w:rPr>
            </w:pPr>
            <w:r w:rsidRPr="004B1815">
              <w:rPr>
                <w:rFonts w:eastAsia="Calibri" w:cs="Calibri"/>
              </w:rPr>
              <w:t xml:space="preserve">U Uputama navedenog projekta stoji da izravni troškovi osoblja ne uključuju 2) ugovore o uslugama što je u suprotnosti s poglavljem 2.3.1. Uputa o prihvatljivosti troškova plaća i troškova povezanih s radom u okviru ESF-a 2014.-2020. gdje izričito stoji da trošak osoblja prema Ugovoru o uslugama za vanjsko osoblje predstavlja trošak osoblja. </w:t>
            </w:r>
          </w:p>
          <w:p w14:paraId="174364E8" w14:textId="77777777" w:rsidR="004B1815" w:rsidRPr="004B1815" w:rsidRDefault="004B1815" w:rsidP="004B1815">
            <w:pPr>
              <w:jc w:val="both"/>
              <w:rPr>
                <w:rFonts w:eastAsia="Calibri" w:cs="Calibri"/>
              </w:rPr>
            </w:pPr>
          </w:p>
          <w:p w14:paraId="0F82C8FD" w14:textId="276547EF" w:rsidR="004B1815" w:rsidRPr="004B1815" w:rsidRDefault="004B1815" w:rsidP="004B1815">
            <w:pPr>
              <w:jc w:val="both"/>
              <w:rPr>
                <w:rFonts w:eastAsia="Calibri" w:cs="Calibri"/>
              </w:rPr>
            </w:pPr>
            <w:r w:rsidRPr="004B1815">
              <w:rPr>
                <w:rFonts w:eastAsia="Calibri" w:cs="Calibri"/>
              </w:rPr>
              <w:t>Kako je moguće da uvjeti natječaja UP.01.2.0.04 ne korespon</w:t>
            </w:r>
            <w:r>
              <w:rPr>
                <w:rFonts w:eastAsia="Calibri" w:cs="Calibri"/>
              </w:rPr>
              <w:t>d</w:t>
            </w:r>
            <w:r w:rsidRPr="004B1815">
              <w:rPr>
                <w:rFonts w:eastAsia="Calibri" w:cs="Calibri"/>
              </w:rPr>
              <w:t>iraju s Uputama  o prihvatljivosti troškova plaća te predstavlja li izravan trošak osoblja trošak nastao prema ugovoru o djelu ili se kao izravni trošak osoblja prihvaća isključivo ugovor o radu na (ne)određeno vrijeme?</w:t>
            </w:r>
          </w:p>
          <w:p w14:paraId="4393EDFD" w14:textId="77777777" w:rsidR="004B1815" w:rsidRPr="00A92771" w:rsidRDefault="004B1815" w:rsidP="00A92771">
            <w:pPr>
              <w:jc w:val="both"/>
              <w:rPr>
                <w:rFonts w:eastAsia="Calibri" w:cs="Calibri"/>
              </w:rPr>
            </w:pPr>
          </w:p>
        </w:tc>
        <w:tc>
          <w:tcPr>
            <w:tcW w:w="4297" w:type="dxa"/>
          </w:tcPr>
          <w:p w14:paraId="683A74BC" w14:textId="7EDB11BF" w:rsidR="005825C8" w:rsidRPr="00B803F6" w:rsidRDefault="005825C8" w:rsidP="00EA5A40">
            <w:pPr>
              <w:jc w:val="both"/>
              <w:rPr>
                <w:rFonts w:eastAsiaTheme="minorEastAsia"/>
              </w:rPr>
            </w:pPr>
            <w:r w:rsidRPr="00B803F6">
              <w:rPr>
                <w:rFonts w:eastAsiaTheme="minorEastAsia"/>
              </w:rPr>
              <w:t>Uputa o prihvatljivosti troškova plaća i troškova poveznih s radom u okviru Europskog socijalnog fonda u RH 2014.-2020. odnosi se općenito na troškove potraživane u sklopu Europskog socijalnog fonda u RH 2014.-2020., no Uputama za prijavitelje u sklopu pojedinog poziva na dostavu projektnog prijedloga moguće je propisati dodatna pravila prihvatljivosti troškova koja nisu primjenjiva za sve pozive u sklopu ESF-a, već samo na pojedini poziv u sklopu kojeg su propisana.</w:t>
            </w:r>
          </w:p>
          <w:p w14:paraId="1BBF175C" w14:textId="77777777" w:rsidR="005825C8" w:rsidRPr="00B803F6" w:rsidRDefault="005825C8" w:rsidP="00EA5A40">
            <w:pPr>
              <w:jc w:val="both"/>
              <w:rPr>
                <w:rFonts w:eastAsiaTheme="minorEastAsia"/>
              </w:rPr>
            </w:pPr>
          </w:p>
          <w:p w14:paraId="1D1DE332" w14:textId="4D6E5032" w:rsidR="004B1815" w:rsidRPr="005825C8" w:rsidRDefault="005825C8" w:rsidP="00EA5A40">
            <w:pPr>
              <w:jc w:val="both"/>
              <w:rPr>
                <w:rFonts w:eastAsia="Calibri" w:cs="Calibri"/>
              </w:rPr>
            </w:pPr>
            <w:r w:rsidRPr="00B803F6">
              <w:rPr>
                <w:rFonts w:eastAsiaTheme="minorEastAsia"/>
              </w:rPr>
              <w:t>U slučaju da su Uputama za prijavitelje propisani dodatni uvjeti u odnosu na Uputu o prihvatljivosti plaća, svi prijavitelji na predmetni poziv dužni su se istih pridržavati.</w:t>
            </w:r>
            <w:r w:rsidR="00EA5A40" w:rsidRPr="00B803F6">
              <w:rPr>
                <w:rFonts w:eastAsiaTheme="minorEastAsia"/>
              </w:rPr>
              <w:t xml:space="preserve"> </w:t>
            </w:r>
          </w:p>
        </w:tc>
      </w:tr>
    </w:tbl>
    <w:p w14:paraId="371CA876" w14:textId="51230111" w:rsidR="004F0666" w:rsidRDefault="004F0666"/>
    <w:sectPr w:rsidR="004F0666">
      <w:head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FFC40A" w16cid:durableId="22CEA9B4"/>
  <w16cid:commentId w16cid:paraId="6A298283" w16cid:durableId="22CEA9B5"/>
  <w16cid:commentId w16cid:paraId="49936449" w16cid:durableId="22CEA9B6"/>
  <w16cid:commentId w16cid:paraId="5362077A" w16cid:durableId="22CEA9B7"/>
  <w16cid:commentId w16cid:paraId="7EFCC169" w16cid:durableId="22CEA9B8"/>
  <w16cid:commentId w16cid:paraId="650B858A" w16cid:durableId="22CEA9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2EF11" w14:textId="77777777" w:rsidR="005C4AD0" w:rsidRDefault="005C4AD0" w:rsidP="00574A2F">
      <w:pPr>
        <w:spacing w:after="0" w:line="240" w:lineRule="auto"/>
      </w:pPr>
      <w:r>
        <w:separator/>
      </w:r>
    </w:p>
  </w:endnote>
  <w:endnote w:type="continuationSeparator" w:id="0">
    <w:p w14:paraId="3B074482" w14:textId="77777777" w:rsidR="005C4AD0" w:rsidRDefault="005C4AD0"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B9F6F" w14:textId="77777777" w:rsidR="005C4AD0" w:rsidRDefault="005C4AD0" w:rsidP="00574A2F">
      <w:pPr>
        <w:spacing w:after="0" w:line="240" w:lineRule="auto"/>
      </w:pPr>
      <w:r>
        <w:separator/>
      </w:r>
    </w:p>
  </w:footnote>
  <w:footnote w:type="continuationSeparator" w:id="0">
    <w:p w14:paraId="2047F9AB" w14:textId="77777777" w:rsidR="005C4AD0" w:rsidRDefault="005C4AD0"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C4254" w14:textId="40335A6A" w:rsidR="00574A2F" w:rsidRPr="00574A2F" w:rsidRDefault="007902E3" w:rsidP="00532644">
    <w:pPr>
      <w:pStyle w:val="Zaglavlje"/>
      <w:ind w:left="-426"/>
      <w:rPr>
        <w:sz w:val="20"/>
      </w:rPr>
    </w:pPr>
    <w:r w:rsidRPr="00574A2F">
      <w:rPr>
        <w:noProof/>
        <w:sz w:val="20"/>
        <w:lang w:eastAsia="hr-HR"/>
      </w:rPr>
      <mc:AlternateContent>
        <mc:Choice Requires="wps">
          <w:drawing>
            <wp:anchor distT="0" distB="0" distL="114300" distR="114300" simplePos="0" relativeHeight="251659264" behindDoc="0" locked="0" layoutInCell="1" allowOverlap="1" wp14:anchorId="5E454792" wp14:editId="1893351A">
              <wp:simplePos x="0" y="0"/>
              <wp:positionH relativeFrom="column">
                <wp:posOffset>3646170</wp:posOffset>
              </wp:positionH>
              <wp:positionV relativeFrom="paragraph">
                <wp:posOffset>-96520</wp:posOffset>
              </wp:positionV>
              <wp:extent cx="2872740" cy="763270"/>
              <wp:effectExtent l="0" t="0" r="381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763270"/>
                      </a:xfrm>
                      <a:prstGeom prst="rect">
                        <a:avLst/>
                      </a:prstGeom>
                      <a:solidFill>
                        <a:srgbClr val="FFFFFF"/>
                      </a:solidFill>
                      <a:ln w="9525">
                        <a:noFill/>
                        <a:miter lim="800000"/>
                        <a:headEnd/>
                        <a:tailEnd/>
                      </a:ln>
                    </wps:spPr>
                    <wps:txbx>
                      <w:txbxContent>
                        <w:p w14:paraId="68492225" w14:textId="6E9902C7" w:rsidR="00574A2F" w:rsidRDefault="00574A2F" w:rsidP="00574A2F">
                          <w:pPr>
                            <w:spacing w:after="0"/>
                            <w:jc w:val="right"/>
                            <w:rPr>
                              <w:sz w:val="20"/>
                            </w:rPr>
                          </w:pPr>
                          <w:r w:rsidRPr="00574A2F">
                            <w:rPr>
                              <w:sz w:val="20"/>
                            </w:rPr>
                            <w:t>Poziv na dostavu projektnih prijed</w:t>
                          </w:r>
                          <w:r w:rsidR="00EA72FF">
                            <w:rPr>
                              <w:sz w:val="20"/>
                            </w:rPr>
                            <w:t xml:space="preserve">loga </w:t>
                          </w:r>
                          <w:r w:rsidR="007902E3" w:rsidRPr="007902E3">
                            <w:rPr>
                              <w:sz w:val="20"/>
                            </w:rPr>
                            <w:t>„Pronađi me!“ – provedba aktivnosti dosega i obrazovanja neaktivnih mladih osoba u NEET statusu</w:t>
                          </w:r>
                        </w:p>
                        <w:p w14:paraId="58AFD8AE" w14:textId="375920C5" w:rsidR="00574A2F" w:rsidRPr="00574A2F" w:rsidRDefault="0045673C" w:rsidP="00574A2F">
                          <w:pPr>
                            <w:spacing w:after="0"/>
                            <w:jc w:val="right"/>
                            <w:rPr>
                              <w:sz w:val="20"/>
                            </w:rPr>
                          </w:pPr>
                          <w:r>
                            <w:rPr>
                              <w:sz w:val="20"/>
                            </w:rPr>
                            <w:t xml:space="preserve">Broj Poziva: </w:t>
                          </w:r>
                          <w:r w:rsidR="00574A2F" w:rsidRPr="00574A2F">
                            <w:rPr>
                              <w:sz w:val="20"/>
                            </w:rPr>
                            <w:t>UP.</w:t>
                          </w:r>
                          <w:r w:rsidR="007902E3">
                            <w:rPr>
                              <w:sz w:val="20"/>
                            </w:rPr>
                            <w:t>01.2.0.04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E454792" id="_x0000_t202" coordsize="21600,21600" o:spt="202" path="m,l,21600r21600,l21600,xe">
              <v:stroke joinstyle="miter"/>
              <v:path gradientshapeok="t" o:connecttype="rect"/>
            </v:shapetype>
            <v:shape id="Tekstni okvir 2" o:spid="_x0000_s1026" type="#_x0000_t202" style="position:absolute;left:0;text-align:left;margin-left:287.1pt;margin-top:-7.6pt;width:226.2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" stroked="f">
              <v:textbox>
                <w:txbxContent>
                  <w:p w14:paraId="68492225" w14:textId="6E9902C7" w:rsidR="00574A2F" w:rsidRDefault="00574A2F" w:rsidP="00574A2F">
                    <w:pPr>
                      <w:spacing w:after="0"/>
                      <w:jc w:val="right"/>
                      <w:rPr>
                        <w:sz w:val="20"/>
                      </w:rPr>
                    </w:pPr>
                    <w:r w:rsidRPr="00574A2F">
                      <w:rPr>
                        <w:sz w:val="20"/>
                      </w:rPr>
                      <w:t>Poziv na dostavu projektnih prijed</w:t>
                    </w:r>
                    <w:r w:rsidR="00EA72FF">
                      <w:rPr>
                        <w:sz w:val="20"/>
                      </w:rPr>
                      <w:t xml:space="preserve">loga </w:t>
                    </w:r>
                    <w:r w:rsidR="007902E3" w:rsidRPr="007902E3">
                      <w:rPr>
                        <w:sz w:val="20"/>
                      </w:rPr>
                      <w:t>„Pronađi me!“ – provedba aktivnosti dosega i obrazovanja neaktivnih mladih osoba u NEET statusu</w:t>
                    </w:r>
                  </w:p>
                  <w:p w14:paraId="58AFD8AE" w14:textId="375920C5" w:rsidR="00574A2F" w:rsidRPr="00574A2F" w:rsidRDefault="0045673C" w:rsidP="00574A2F">
                    <w:pPr>
                      <w:spacing w:after="0"/>
                      <w:jc w:val="right"/>
                      <w:rPr>
                        <w:sz w:val="20"/>
                      </w:rPr>
                    </w:pPr>
                    <w:r>
                      <w:rPr>
                        <w:sz w:val="20"/>
                      </w:rPr>
                      <w:t xml:space="preserve">Broj Poziva: </w:t>
                    </w:r>
                    <w:r w:rsidR="00574A2F" w:rsidRPr="00574A2F">
                      <w:rPr>
                        <w:sz w:val="20"/>
                      </w:rPr>
                      <w:t>UP.</w:t>
                    </w:r>
                    <w:r w:rsidR="007902E3">
                      <w:rPr>
                        <w:sz w:val="20"/>
                      </w:rPr>
                      <w:t>01.2.0.04</w:t>
                    </w:r>
                  </w:p>
                </w:txbxContent>
              </v:textbox>
            </v:shape>
          </w:pict>
        </mc:Fallback>
      </mc:AlternateContent>
    </w:r>
    <w:r w:rsidR="00532644" w:rsidRPr="00574A2F">
      <w:rPr>
        <w:noProof/>
        <w:sz w:val="20"/>
        <w:lang w:eastAsia="hr-HR"/>
      </w:rPr>
      <mc:AlternateContent>
        <mc:Choice Requires="wps">
          <w:drawing>
            <wp:anchor distT="0" distB="0" distL="114300" distR="114300" simplePos="0" relativeHeight="251661312" behindDoc="0" locked="0" layoutInCell="1" allowOverlap="1" wp14:anchorId="63F79D5D" wp14:editId="0D207C83">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356E2E0E" w14:textId="77777777" w:rsidR="000B2F11" w:rsidRDefault="00574A2F" w:rsidP="00532644">
                          <w:pPr>
                            <w:spacing w:after="0"/>
                            <w:rPr>
                              <w:sz w:val="20"/>
                            </w:rPr>
                          </w:pPr>
                          <w:r w:rsidRPr="00574A2F">
                            <w:rPr>
                              <w:sz w:val="20"/>
                            </w:rPr>
                            <w:t>Ministarstvo rada</w:t>
                          </w:r>
                          <w:r w:rsidR="000B2F11">
                            <w:rPr>
                              <w:sz w:val="20"/>
                            </w:rPr>
                            <w:t>,</w:t>
                          </w:r>
                          <w:r w:rsidRPr="00574A2F">
                            <w:rPr>
                              <w:sz w:val="20"/>
                            </w:rPr>
                            <w:t xml:space="preserve"> mirovinskoga sustava</w:t>
                          </w:r>
                          <w:r w:rsidR="000B2F11">
                            <w:rPr>
                              <w:sz w:val="20"/>
                            </w:rPr>
                            <w:t xml:space="preserve">, obitelji i </w:t>
                          </w:r>
                        </w:p>
                        <w:p w14:paraId="4234CF08" w14:textId="191C4084" w:rsidR="00574A2F" w:rsidRDefault="000B2F11" w:rsidP="00532644">
                          <w:pPr>
                            <w:spacing w:after="0"/>
                            <w:rPr>
                              <w:sz w:val="20"/>
                            </w:rPr>
                          </w:pPr>
                          <w:r w:rsidRPr="000B2F11">
                            <w:rPr>
                              <w:sz w:val="20"/>
                            </w:rPr>
                            <w:t>socijalne politike</w:t>
                          </w:r>
                        </w:p>
                        <w:p w14:paraId="7EF72DE9"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6BA932D6"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F79D5D" id="_x0000_s1027"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" stroked="f">
              <v:textbox>
                <w:txbxContent>
                  <w:p w14:paraId="356E2E0E" w14:textId="77777777" w:rsidR="000B2F11" w:rsidRDefault="00574A2F" w:rsidP="00532644">
                    <w:pPr>
                      <w:spacing w:after="0"/>
                      <w:rPr>
                        <w:sz w:val="20"/>
                      </w:rPr>
                    </w:pPr>
                    <w:r w:rsidRPr="00574A2F">
                      <w:rPr>
                        <w:sz w:val="20"/>
                      </w:rPr>
                      <w:t>Ministarstvo rada</w:t>
                    </w:r>
                    <w:r w:rsidR="000B2F11">
                      <w:rPr>
                        <w:sz w:val="20"/>
                      </w:rPr>
                      <w:t>,</w:t>
                    </w:r>
                    <w:r w:rsidRPr="00574A2F">
                      <w:rPr>
                        <w:sz w:val="20"/>
                      </w:rPr>
                      <w:t xml:space="preserve"> mirovinskoga sustava</w:t>
                    </w:r>
                    <w:r w:rsidR="000B2F11">
                      <w:rPr>
                        <w:sz w:val="20"/>
                      </w:rPr>
                      <w:t xml:space="preserve">, obitelji i </w:t>
                    </w:r>
                  </w:p>
                  <w:p w14:paraId="4234CF08" w14:textId="191C4084" w:rsidR="00574A2F" w:rsidRDefault="000B2F11" w:rsidP="00532644">
                    <w:pPr>
                      <w:spacing w:after="0"/>
                      <w:rPr>
                        <w:sz w:val="20"/>
                      </w:rPr>
                    </w:pPr>
                    <w:r w:rsidRPr="000B2F11">
                      <w:rPr>
                        <w:sz w:val="20"/>
                      </w:rPr>
                      <w:t>socijalne politike</w:t>
                    </w:r>
                  </w:p>
                  <w:p w14:paraId="7EF72DE9"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6BA932D6"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v:textbox>
            </v:shape>
          </w:pict>
        </mc:Fallback>
      </mc:AlternateContent>
    </w:r>
    <w:r w:rsidR="00532644" w:rsidRPr="00574A2F">
      <w:rPr>
        <w:sz w:val="20"/>
      </w:rPr>
      <w:t xml:space="preserve"> </w:t>
    </w:r>
  </w:p>
  <w:p w14:paraId="3C3941D2" w14:textId="77777777" w:rsidR="00574A2F" w:rsidRPr="00574A2F" w:rsidRDefault="00574A2F" w:rsidP="00532644">
    <w:pPr>
      <w:pStyle w:val="Zaglavlje"/>
      <w:rPr>
        <w:sz w:val="20"/>
      </w:rPr>
    </w:pPr>
  </w:p>
  <w:p w14:paraId="7B9EDCB1" w14:textId="77777777" w:rsidR="00EB184A" w:rsidRDefault="00EB18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1FA"/>
    <w:multiLevelType w:val="hybridMultilevel"/>
    <w:tmpl w:val="77625404"/>
    <w:lvl w:ilvl="0" w:tplc="A148DF38">
      <w:start w:val="1"/>
      <w:numFmt w:val="bullet"/>
      <w:lvlText w:val=""/>
      <w:lvlJc w:val="left"/>
      <w:pPr>
        <w:ind w:left="720" w:hanging="360"/>
      </w:pPr>
      <w:rPr>
        <w:rFonts w:ascii="Symbol" w:hAnsi="Symbol" w:hint="default"/>
      </w:rPr>
    </w:lvl>
    <w:lvl w:ilvl="1" w:tplc="2BE2E552">
      <w:start w:val="1"/>
      <w:numFmt w:val="bullet"/>
      <w:lvlText w:val="o"/>
      <w:lvlJc w:val="left"/>
      <w:pPr>
        <w:ind w:left="1440" w:hanging="360"/>
      </w:pPr>
      <w:rPr>
        <w:rFonts w:ascii="Courier New" w:hAnsi="Courier New" w:hint="default"/>
      </w:rPr>
    </w:lvl>
    <w:lvl w:ilvl="2" w:tplc="11E49B08">
      <w:start w:val="1"/>
      <w:numFmt w:val="bullet"/>
      <w:lvlText w:val=""/>
      <w:lvlJc w:val="left"/>
      <w:pPr>
        <w:ind w:left="2160" w:hanging="360"/>
      </w:pPr>
      <w:rPr>
        <w:rFonts w:ascii="Wingdings" w:hAnsi="Wingdings" w:hint="default"/>
      </w:rPr>
    </w:lvl>
    <w:lvl w:ilvl="3" w:tplc="03A2DA54">
      <w:start w:val="1"/>
      <w:numFmt w:val="bullet"/>
      <w:lvlText w:val=""/>
      <w:lvlJc w:val="left"/>
      <w:pPr>
        <w:ind w:left="2880" w:hanging="360"/>
      </w:pPr>
      <w:rPr>
        <w:rFonts w:ascii="Symbol" w:hAnsi="Symbol" w:hint="default"/>
      </w:rPr>
    </w:lvl>
    <w:lvl w:ilvl="4" w:tplc="733AD284">
      <w:start w:val="1"/>
      <w:numFmt w:val="bullet"/>
      <w:lvlText w:val="o"/>
      <w:lvlJc w:val="left"/>
      <w:pPr>
        <w:ind w:left="3600" w:hanging="360"/>
      </w:pPr>
      <w:rPr>
        <w:rFonts w:ascii="Courier New" w:hAnsi="Courier New" w:hint="default"/>
      </w:rPr>
    </w:lvl>
    <w:lvl w:ilvl="5" w:tplc="BF4A0466">
      <w:start w:val="1"/>
      <w:numFmt w:val="bullet"/>
      <w:lvlText w:val=""/>
      <w:lvlJc w:val="left"/>
      <w:pPr>
        <w:ind w:left="4320" w:hanging="360"/>
      </w:pPr>
      <w:rPr>
        <w:rFonts w:ascii="Wingdings" w:hAnsi="Wingdings" w:hint="default"/>
      </w:rPr>
    </w:lvl>
    <w:lvl w:ilvl="6" w:tplc="28BCFFBC">
      <w:start w:val="1"/>
      <w:numFmt w:val="bullet"/>
      <w:lvlText w:val=""/>
      <w:lvlJc w:val="left"/>
      <w:pPr>
        <w:ind w:left="5040" w:hanging="360"/>
      </w:pPr>
      <w:rPr>
        <w:rFonts w:ascii="Symbol" w:hAnsi="Symbol" w:hint="default"/>
      </w:rPr>
    </w:lvl>
    <w:lvl w:ilvl="7" w:tplc="5C3CF0E8">
      <w:start w:val="1"/>
      <w:numFmt w:val="bullet"/>
      <w:lvlText w:val="o"/>
      <w:lvlJc w:val="left"/>
      <w:pPr>
        <w:ind w:left="5760" w:hanging="360"/>
      </w:pPr>
      <w:rPr>
        <w:rFonts w:ascii="Courier New" w:hAnsi="Courier New" w:hint="default"/>
      </w:rPr>
    </w:lvl>
    <w:lvl w:ilvl="8" w:tplc="A55890B4">
      <w:start w:val="1"/>
      <w:numFmt w:val="bullet"/>
      <w:lvlText w:val=""/>
      <w:lvlJc w:val="left"/>
      <w:pPr>
        <w:ind w:left="6480" w:hanging="360"/>
      </w:pPr>
      <w:rPr>
        <w:rFonts w:ascii="Wingdings" w:hAnsi="Wingdings" w:hint="default"/>
      </w:rPr>
    </w:lvl>
  </w:abstractNum>
  <w:abstractNum w:abstractNumId="1">
    <w:nsid w:val="215C732D"/>
    <w:multiLevelType w:val="hybridMultilevel"/>
    <w:tmpl w:val="DD06B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5F02242"/>
    <w:multiLevelType w:val="hybridMultilevel"/>
    <w:tmpl w:val="CC5A1342"/>
    <w:lvl w:ilvl="0" w:tplc="4D9A7C28">
      <w:start w:val="1"/>
      <w:numFmt w:val="bullet"/>
      <w:lvlText w:val=""/>
      <w:lvlJc w:val="left"/>
      <w:pPr>
        <w:ind w:left="720" w:hanging="360"/>
      </w:pPr>
      <w:rPr>
        <w:rFonts w:ascii="Symbol" w:hAnsi="Symbol" w:hint="default"/>
      </w:rPr>
    </w:lvl>
    <w:lvl w:ilvl="1" w:tplc="6D0CEEEA">
      <w:start w:val="1"/>
      <w:numFmt w:val="bullet"/>
      <w:lvlText w:val="o"/>
      <w:lvlJc w:val="left"/>
      <w:pPr>
        <w:ind w:left="1440" w:hanging="360"/>
      </w:pPr>
      <w:rPr>
        <w:rFonts w:ascii="Courier New" w:hAnsi="Courier New" w:hint="default"/>
      </w:rPr>
    </w:lvl>
    <w:lvl w:ilvl="2" w:tplc="3618BE14">
      <w:start w:val="1"/>
      <w:numFmt w:val="bullet"/>
      <w:lvlText w:val=""/>
      <w:lvlJc w:val="left"/>
      <w:pPr>
        <w:ind w:left="2160" w:hanging="360"/>
      </w:pPr>
      <w:rPr>
        <w:rFonts w:ascii="Wingdings" w:hAnsi="Wingdings" w:hint="default"/>
      </w:rPr>
    </w:lvl>
    <w:lvl w:ilvl="3" w:tplc="80221A4C">
      <w:start w:val="1"/>
      <w:numFmt w:val="bullet"/>
      <w:lvlText w:val=""/>
      <w:lvlJc w:val="left"/>
      <w:pPr>
        <w:ind w:left="2880" w:hanging="360"/>
      </w:pPr>
      <w:rPr>
        <w:rFonts w:ascii="Symbol" w:hAnsi="Symbol" w:hint="default"/>
      </w:rPr>
    </w:lvl>
    <w:lvl w:ilvl="4" w:tplc="2454218E">
      <w:start w:val="1"/>
      <w:numFmt w:val="bullet"/>
      <w:lvlText w:val="o"/>
      <w:lvlJc w:val="left"/>
      <w:pPr>
        <w:ind w:left="3600" w:hanging="360"/>
      </w:pPr>
      <w:rPr>
        <w:rFonts w:ascii="Courier New" w:hAnsi="Courier New" w:hint="default"/>
      </w:rPr>
    </w:lvl>
    <w:lvl w:ilvl="5" w:tplc="C0F03E90">
      <w:start w:val="1"/>
      <w:numFmt w:val="bullet"/>
      <w:lvlText w:val=""/>
      <w:lvlJc w:val="left"/>
      <w:pPr>
        <w:ind w:left="4320" w:hanging="360"/>
      </w:pPr>
      <w:rPr>
        <w:rFonts w:ascii="Wingdings" w:hAnsi="Wingdings" w:hint="default"/>
      </w:rPr>
    </w:lvl>
    <w:lvl w:ilvl="6" w:tplc="8AB0067E">
      <w:start w:val="1"/>
      <w:numFmt w:val="bullet"/>
      <w:lvlText w:val=""/>
      <w:lvlJc w:val="left"/>
      <w:pPr>
        <w:ind w:left="5040" w:hanging="360"/>
      </w:pPr>
      <w:rPr>
        <w:rFonts w:ascii="Symbol" w:hAnsi="Symbol" w:hint="default"/>
      </w:rPr>
    </w:lvl>
    <w:lvl w:ilvl="7" w:tplc="6E10F2DC">
      <w:start w:val="1"/>
      <w:numFmt w:val="bullet"/>
      <w:lvlText w:val="o"/>
      <w:lvlJc w:val="left"/>
      <w:pPr>
        <w:ind w:left="5760" w:hanging="360"/>
      </w:pPr>
      <w:rPr>
        <w:rFonts w:ascii="Courier New" w:hAnsi="Courier New" w:hint="default"/>
      </w:rPr>
    </w:lvl>
    <w:lvl w:ilvl="8" w:tplc="8DF0AD30">
      <w:start w:val="1"/>
      <w:numFmt w:val="bullet"/>
      <w:lvlText w:val=""/>
      <w:lvlJc w:val="left"/>
      <w:pPr>
        <w:ind w:left="6480" w:hanging="360"/>
      </w:pPr>
      <w:rPr>
        <w:rFonts w:ascii="Wingdings" w:hAnsi="Wingdings" w:hint="default"/>
      </w:rPr>
    </w:lvl>
  </w:abstractNum>
  <w:abstractNum w:abstractNumId="3">
    <w:nsid w:val="289F214A"/>
    <w:multiLevelType w:val="hybridMultilevel"/>
    <w:tmpl w:val="69382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2B91A4F"/>
    <w:multiLevelType w:val="hybridMultilevel"/>
    <w:tmpl w:val="CEF66F66"/>
    <w:lvl w:ilvl="0" w:tplc="80640832">
      <w:start w:val="1"/>
      <w:numFmt w:val="decimal"/>
      <w:lvlText w:val="%1."/>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82E68CF"/>
    <w:multiLevelType w:val="hybridMultilevel"/>
    <w:tmpl w:val="5E682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14C4B70"/>
    <w:multiLevelType w:val="hybridMultilevel"/>
    <w:tmpl w:val="63763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B6064F9"/>
    <w:multiLevelType w:val="hybridMultilevel"/>
    <w:tmpl w:val="F82C5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D1C772B"/>
    <w:multiLevelType w:val="hybridMultilevel"/>
    <w:tmpl w:val="46DE13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0A512D8"/>
    <w:multiLevelType w:val="hybridMultilevel"/>
    <w:tmpl w:val="637C0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30C2DD9"/>
    <w:multiLevelType w:val="hybridMultilevel"/>
    <w:tmpl w:val="4A4A78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63859FC"/>
    <w:multiLevelType w:val="hybridMultilevel"/>
    <w:tmpl w:val="56B85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8293085"/>
    <w:multiLevelType w:val="hybridMultilevel"/>
    <w:tmpl w:val="781A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1FB7095"/>
    <w:multiLevelType w:val="hybridMultilevel"/>
    <w:tmpl w:val="996A1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25E4B49"/>
    <w:multiLevelType w:val="hybridMultilevel"/>
    <w:tmpl w:val="BC826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5686AE7"/>
    <w:multiLevelType w:val="hybridMultilevel"/>
    <w:tmpl w:val="CD12C34C"/>
    <w:lvl w:ilvl="0" w:tplc="4622FE7E">
      <w:start w:val="1"/>
      <w:numFmt w:val="decimal"/>
      <w:lvlText w:val="%1."/>
      <w:lvlJc w:val="left"/>
      <w:pPr>
        <w:ind w:left="439" w:hanging="360"/>
      </w:pPr>
      <w:rPr>
        <w:rFonts w:hint="default"/>
      </w:rPr>
    </w:lvl>
    <w:lvl w:ilvl="1" w:tplc="041A0019" w:tentative="1">
      <w:start w:val="1"/>
      <w:numFmt w:val="lowerLetter"/>
      <w:lvlText w:val="%2."/>
      <w:lvlJc w:val="left"/>
      <w:pPr>
        <w:ind w:left="1159" w:hanging="360"/>
      </w:pPr>
    </w:lvl>
    <w:lvl w:ilvl="2" w:tplc="041A001B" w:tentative="1">
      <w:start w:val="1"/>
      <w:numFmt w:val="lowerRoman"/>
      <w:lvlText w:val="%3."/>
      <w:lvlJc w:val="right"/>
      <w:pPr>
        <w:ind w:left="1879" w:hanging="180"/>
      </w:pPr>
    </w:lvl>
    <w:lvl w:ilvl="3" w:tplc="041A000F" w:tentative="1">
      <w:start w:val="1"/>
      <w:numFmt w:val="decimal"/>
      <w:lvlText w:val="%4."/>
      <w:lvlJc w:val="left"/>
      <w:pPr>
        <w:ind w:left="2599" w:hanging="360"/>
      </w:pPr>
    </w:lvl>
    <w:lvl w:ilvl="4" w:tplc="041A0019" w:tentative="1">
      <w:start w:val="1"/>
      <w:numFmt w:val="lowerLetter"/>
      <w:lvlText w:val="%5."/>
      <w:lvlJc w:val="left"/>
      <w:pPr>
        <w:ind w:left="3319" w:hanging="360"/>
      </w:pPr>
    </w:lvl>
    <w:lvl w:ilvl="5" w:tplc="041A001B" w:tentative="1">
      <w:start w:val="1"/>
      <w:numFmt w:val="lowerRoman"/>
      <w:lvlText w:val="%6."/>
      <w:lvlJc w:val="right"/>
      <w:pPr>
        <w:ind w:left="4039" w:hanging="180"/>
      </w:pPr>
    </w:lvl>
    <w:lvl w:ilvl="6" w:tplc="041A000F" w:tentative="1">
      <w:start w:val="1"/>
      <w:numFmt w:val="decimal"/>
      <w:lvlText w:val="%7."/>
      <w:lvlJc w:val="left"/>
      <w:pPr>
        <w:ind w:left="4759" w:hanging="360"/>
      </w:pPr>
    </w:lvl>
    <w:lvl w:ilvl="7" w:tplc="041A0019" w:tentative="1">
      <w:start w:val="1"/>
      <w:numFmt w:val="lowerLetter"/>
      <w:lvlText w:val="%8."/>
      <w:lvlJc w:val="left"/>
      <w:pPr>
        <w:ind w:left="5479" w:hanging="360"/>
      </w:pPr>
    </w:lvl>
    <w:lvl w:ilvl="8" w:tplc="041A001B" w:tentative="1">
      <w:start w:val="1"/>
      <w:numFmt w:val="lowerRoman"/>
      <w:lvlText w:val="%9."/>
      <w:lvlJc w:val="right"/>
      <w:pPr>
        <w:ind w:left="6199" w:hanging="180"/>
      </w:pPr>
    </w:lvl>
  </w:abstractNum>
  <w:num w:numId="1">
    <w:abstractNumId w:val="2"/>
  </w:num>
  <w:num w:numId="2">
    <w:abstractNumId w:val="0"/>
  </w:num>
  <w:num w:numId="3">
    <w:abstractNumId w:val="7"/>
  </w:num>
  <w:num w:numId="4">
    <w:abstractNumId w:val="16"/>
  </w:num>
  <w:num w:numId="5">
    <w:abstractNumId w:val="17"/>
  </w:num>
  <w:num w:numId="6">
    <w:abstractNumId w:val="8"/>
  </w:num>
  <w:num w:numId="7">
    <w:abstractNumId w:val="1"/>
  </w:num>
  <w:num w:numId="8">
    <w:abstractNumId w:val="13"/>
  </w:num>
  <w:num w:numId="9">
    <w:abstractNumId w:val="6"/>
  </w:num>
  <w:num w:numId="10">
    <w:abstractNumId w:val="14"/>
  </w:num>
  <w:num w:numId="11">
    <w:abstractNumId w:val="10"/>
  </w:num>
  <w:num w:numId="12">
    <w:abstractNumId w:val="18"/>
  </w:num>
  <w:num w:numId="13">
    <w:abstractNumId w:val="3"/>
  </w:num>
  <w:num w:numId="14">
    <w:abstractNumId w:val="9"/>
  </w:num>
  <w:num w:numId="15">
    <w:abstractNumId w:val="15"/>
  </w:num>
  <w:num w:numId="16">
    <w:abstractNumId w:val="4"/>
  </w:num>
  <w:num w:numId="17">
    <w:abstractNumId w:val="5"/>
  </w:num>
  <w:num w:numId="18">
    <w:abstractNumId w:val="11"/>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ZZ">
    <w15:presenceInfo w15:providerId="None" w15:userId="HZ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10291"/>
    <w:rsid w:val="00010C03"/>
    <w:rsid w:val="00025C8B"/>
    <w:rsid w:val="00027CEE"/>
    <w:rsid w:val="000414BC"/>
    <w:rsid w:val="000456A7"/>
    <w:rsid w:val="00046C1F"/>
    <w:rsid w:val="000473FE"/>
    <w:rsid w:val="00064A09"/>
    <w:rsid w:val="0007105E"/>
    <w:rsid w:val="0008616A"/>
    <w:rsid w:val="000B2F11"/>
    <w:rsid w:val="000C0FD5"/>
    <w:rsid w:val="000E3038"/>
    <w:rsid w:val="000E42F3"/>
    <w:rsid w:val="001153DC"/>
    <w:rsid w:val="001256D2"/>
    <w:rsid w:val="00130256"/>
    <w:rsid w:val="00143895"/>
    <w:rsid w:val="00144BE1"/>
    <w:rsid w:val="00146C2E"/>
    <w:rsid w:val="00152B0D"/>
    <w:rsid w:val="00175CDB"/>
    <w:rsid w:val="00184B4F"/>
    <w:rsid w:val="00185C71"/>
    <w:rsid w:val="0019373E"/>
    <w:rsid w:val="00196420"/>
    <w:rsid w:val="00197069"/>
    <w:rsid w:val="001B1698"/>
    <w:rsid w:val="001C1F81"/>
    <w:rsid w:val="001C3B7A"/>
    <w:rsid w:val="001E2337"/>
    <w:rsid w:val="001E666B"/>
    <w:rsid w:val="001E7977"/>
    <w:rsid w:val="001F2314"/>
    <w:rsid w:val="001F44DE"/>
    <w:rsid w:val="00204181"/>
    <w:rsid w:val="00205A79"/>
    <w:rsid w:val="00210572"/>
    <w:rsid w:val="00230031"/>
    <w:rsid w:val="00230E9F"/>
    <w:rsid w:val="0023139A"/>
    <w:rsid w:val="0024069A"/>
    <w:rsid w:val="00246D67"/>
    <w:rsid w:val="002578D5"/>
    <w:rsid w:val="00264230"/>
    <w:rsid w:val="002647DC"/>
    <w:rsid w:val="002733D2"/>
    <w:rsid w:val="002761A4"/>
    <w:rsid w:val="00281319"/>
    <w:rsid w:val="002B4054"/>
    <w:rsid w:val="002B63EC"/>
    <w:rsid w:val="002C56CB"/>
    <w:rsid w:val="002D258A"/>
    <w:rsid w:val="002D4DB9"/>
    <w:rsid w:val="002F0BAE"/>
    <w:rsid w:val="002F20AB"/>
    <w:rsid w:val="00300DE0"/>
    <w:rsid w:val="00325616"/>
    <w:rsid w:val="00335D47"/>
    <w:rsid w:val="0033730E"/>
    <w:rsid w:val="003440E5"/>
    <w:rsid w:val="00351907"/>
    <w:rsid w:val="00382290"/>
    <w:rsid w:val="00395955"/>
    <w:rsid w:val="003A3EDA"/>
    <w:rsid w:val="003D22C0"/>
    <w:rsid w:val="003D3D37"/>
    <w:rsid w:val="003E1069"/>
    <w:rsid w:val="003E6B08"/>
    <w:rsid w:val="003F18B8"/>
    <w:rsid w:val="00403B38"/>
    <w:rsid w:val="00423B94"/>
    <w:rsid w:val="00423E62"/>
    <w:rsid w:val="00424A97"/>
    <w:rsid w:val="00427549"/>
    <w:rsid w:val="00432604"/>
    <w:rsid w:val="00434CB1"/>
    <w:rsid w:val="00450923"/>
    <w:rsid w:val="00451118"/>
    <w:rsid w:val="0045673C"/>
    <w:rsid w:val="00481341"/>
    <w:rsid w:val="004B1815"/>
    <w:rsid w:val="004C1A2A"/>
    <w:rsid w:val="004C5BF4"/>
    <w:rsid w:val="004D2AD3"/>
    <w:rsid w:val="004E570F"/>
    <w:rsid w:val="004F0666"/>
    <w:rsid w:val="004F2B4F"/>
    <w:rsid w:val="005147D0"/>
    <w:rsid w:val="00516D34"/>
    <w:rsid w:val="005179E3"/>
    <w:rsid w:val="005233BA"/>
    <w:rsid w:val="00523E17"/>
    <w:rsid w:val="0053239E"/>
    <w:rsid w:val="00532644"/>
    <w:rsid w:val="005408C4"/>
    <w:rsid w:val="00543A53"/>
    <w:rsid w:val="00574A2F"/>
    <w:rsid w:val="005765CE"/>
    <w:rsid w:val="005825C8"/>
    <w:rsid w:val="0059336C"/>
    <w:rsid w:val="005A23DB"/>
    <w:rsid w:val="005B5F23"/>
    <w:rsid w:val="005B6C64"/>
    <w:rsid w:val="005C2A24"/>
    <w:rsid w:val="005C4AD0"/>
    <w:rsid w:val="005C7999"/>
    <w:rsid w:val="005E4953"/>
    <w:rsid w:val="00615117"/>
    <w:rsid w:val="00631739"/>
    <w:rsid w:val="00633435"/>
    <w:rsid w:val="00633A0E"/>
    <w:rsid w:val="006415C1"/>
    <w:rsid w:val="00642B96"/>
    <w:rsid w:val="006546B4"/>
    <w:rsid w:val="0066566A"/>
    <w:rsid w:val="00670356"/>
    <w:rsid w:val="00682E27"/>
    <w:rsid w:val="006844EF"/>
    <w:rsid w:val="00691A97"/>
    <w:rsid w:val="006954F8"/>
    <w:rsid w:val="006978FE"/>
    <w:rsid w:val="006C4CC7"/>
    <w:rsid w:val="006D551B"/>
    <w:rsid w:val="006E35AB"/>
    <w:rsid w:val="007228F7"/>
    <w:rsid w:val="00730582"/>
    <w:rsid w:val="007902E3"/>
    <w:rsid w:val="007979EE"/>
    <w:rsid w:val="007A015A"/>
    <w:rsid w:val="007A2063"/>
    <w:rsid w:val="007C215F"/>
    <w:rsid w:val="007C6CEC"/>
    <w:rsid w:val="007D206E"/>
    <w:rsid w:val="007D667F"/>
    <w:rsid w:val="007E2E89"/>
    <w:rsid w:val="007F151A"/>
    <w:rsid w:val="008107DC"/>
    <w:rsid w:val="00812777"/>
    <w:rsid w:val="00822CCC"/>
    <w:rsid w:val="00825722"/>
    <w:rsid w:val="008322EC"/>
    <w:rsid w:val="00833102"/>
    <w:rsid w:val="0084123A"/>
    <w:rsid w:val="00870450"/>
    <w:rsid w:val="00877013"/>
    <w:rsid w:val="00880898"/>
    <w:rsid w:val="008809D3"/>
    <w:rsid w:val="0088228B"/>
    <w:rsid w:val="0089032B"/>
    <w:rsid w:val="008C5F4E"/>
    <w:rsid w:val="008D10F8"/>
    <w:rsid w:val="008D41E3"/>
    <w:rsid w:val="00900772"/>
    <w:rsid w:val="00902EED"/>
    <w:rsid w:val="009067FC"/>
    <w:rsid w:val="00907EC4"/>
    <w:rsid w:val="00911A4B"/>
    <w:rsid w:val="009211E7"/>
    <w:rsid w:val="00927D28"/>
    <w:rsid w:val="00957E15"/>
    <w:rsid w:val="00962105"/>
    <w:rsid w:val="00962F02"/>
    <w:rsid w:val="00963C09"/>
    <w:rsid w:val="009746FB"/>
    <w:rsid w:val="00985E8E"/>
    <w:rsid w:val="009A22B3"/>
    <w:rsid w:val="009A2E9B"/>
    <w:rsid w:val="009B48CA"/>
    <w:rsid w:val="009D3D71"/>
    <w:rsid w:val="009F2C41"/>
    <w:rsid w:val="00A15601"/>
    <w:rsid w:val="00A24276"/>
    <w:rsid w:val="00A3195E"/>
    <w:rsid w:val="00A60214"/>
    <w:rsid w:val="00A82353"/>
    <w:rsid w:val="00A92771"/>
    <w:rsid w:val="00A9315B"/>
    <w:rsid w:val="00A94672"/>
    <w:rsid w:val="00AA06AA"/>
    <w:rsid w:val="00AA1DDD"/>
    <w:rsid w:val="00AA725A"/>
    <w:rsid w:val="00AB10F9"/>
    <w:rsid w:val="00AB6556"/>
    <w:rsid w:val="00AB693B"/>
    <w:rsid w:val="00AC02A4"/>
    <w:rsid w:val="00AC1DA9"/>
    <w:rsid w:val="00AF4CCE"/>
    <w:rsid w:val="00B02C97"/>
    <w:rsid w:val="00B15C33"/>
    <w:rsid w:val="00B25264"/>
    <w:rsid w:val="00B266E4"/>
    <w:rsid w:val="00B47A2C"/>
    <w:rsid w:val="00B611FE"/>
    <w:rsid w:val="00B77484"/>
    <w:rsid w:val="00B803F6"/>
    <w:rsid w:val="00BA33CD"/>
    <w:rsid w:val="00BA396A"/>
    <w:rsid w:val="00BA6534"/>
    <w:rsid w:val="00BB00E0"/>
    <w:rsid w:val="00BB596C"/>
    <w:rsid w:val="00BD65C8"/>
    <w:rsid w:val="00BE5E4C"/>
    <w:rsid w:val="00BF0BA3"/>
    <w:rsid w:val="00C13B01"/>
    <w:rsid w:val="00C14FC4"/>
    <w:rsid w:val="00C25A49"/>
    <w:rsid w:val="00C32883"/>
    <w:rsid w:val="00C43AB9"/>
    <w:rsid w:val="00C469D5"/>
    <w:rsid w:val="00C50C3C"/>
    <w:rsid w:val="00C6057B"/>
    <w:rsid w:val="00C637F9"/>
    <w:rsid w:val="00C67A0B"/>
    <w:rsid w:val="00C92C92"/>
    <w:rsid w:val="00C93382"/>
    <w:rsid w:val="00C95C05"/>
    <w:rsid w:val="00CB09D5"/>
    <w:rsid w:val="00CC3861"/>
    <w:rsid w:val="00CD286D"/>
    <w:rsid w:val="00CE03A3"/>
    <w:rsid w:val="00CF24D6"/>
    <w:rsid w:val="00D107C0"/>
    <w:rsid w:val="00D1249F"/>
    <w:rsid w:val="00D23E6E"/>
    <w:rsid w:val="00D249A9"/>
    <w:rsid w:val="00D3496F"/>
    <w:rsid w:val="00D44562"/>
    <w:rsid w:val="00D543A0"/>
    <w:rsid w:val="00D55D0D"/>
    <w:rsid w:val="00D80DCC"/>
    <w:rsid w:val="00D81608"/>
    <w:rsid w:val="00D82DE6"/>
    <w:rsid w:val="00D92DE7"/>
    <w:rsid w:val="00D93012"/>
    <w:rsid w:val="00D9547E"/>
    <w:rsid w:val="00D959DA"/>
    <w:rsid w:val="00DA28AB"/>
    <w:rsid w:val="00DA2FA8"/>
    <w:rsid w:val="00DA66D1"/>
    <w:rsid w:val="00DE3D47"/>
    <w:rsid w:val="00DF7C76"/>
    <w:rsid w:val="00E32C00"/>
    <w:rsid w:val="00E52A69"/>
    <w:rsid w:val="00E554DC"/>
    <w:rsid w:val="00E56504"/>
    <w:rsid w:val="00E64E28"/>
    <w:rsid w:val="00E65B89"/>
    <w:rsid w:val="00E80212"/>
    <w:rsid w:val="00E875C3"/>
    <w:rsid w:val="00E90CB5"/>
    <w:rsid w:val="00EA5A40"/>
    <w:rsid w:val="00EA6E76"/>
    <w:rsid w:val="00EA72FF"/>
    <w:rsid w:val="00EB184A"/>
    <w:rsid w:val="00EB3A91"/>
    <w:rsid w:val="00ED7FB5"/>
    <w:rsid w:val="00EE0086"/>
    <w:rsid w:val="00EF3DDB"/>
    <w:rsid w:val="00F0592D"/>
    <w:rsid w:val="00F07FE4"/>
    <w:rsid w:val="00F11E3F"/>
    <w:rsid w:val="00F17516"/>
    <w:rsid w:val="00F5786A"/>
    <w:rsid w:val="00F57E17"/>
    <w:rsid w:val="00F64FCB"/>
    <w:rsid w:val="00F65043"/>
    <w:rsid w:val="00F87091"/>
    <w:rsid w:val="00F94F76"/>
    <w:rsid w:val="00FB025B"/>
    <w:rsid w:val="00FB0B09"/>
    <w:rsid w:val="00FB0CF1"/>
    <w:rsid w:val="00FB1B2B"/>
    <w:rsid w:val="00FE01FF"/>
    <w:rsid w:val="00FE2D08"/>
    <w:rsid w:val="00FE7525"/>
    <w:rsid w:val="00FF0E02"/>
    <w:rsid w:val="00FF6D34"/>
    <w:rsid w:val="01ECAF52"/>
    <w:rsid w:val="0250494A"/>
    <w:rsid w:val="02CA706B"/>
    <w:rsid w:val="03E486F3"/>
    <w:rsid w:val="0429E9C5"/>
    <w:rsid w:val="046E1532"/>
    <w:rsid w:val="05471D27"/>
    <w:rsid w:val="05D9C31A"/>
    <w:rsid w:val="06946A07"/>
    <w:rsid w:val="06BAC000"/>
    <w:rsid w:val="08C220D5"/>
    <w:rsid w:val="0914A436"/>
    <w:rsid w:val="09C939B0"/>
    <w:rsid w:val="0AB2C96D"/>
    <w:rsid w:val="0ADC45A5"/>
    <w:rsid w:val="0B10592B"/>
    <w:rsid w:val="0B10AD2C"/>
    <w:rsid w:val="0B456AE5"/>
    <w:rsid w:val="0D900A7D"/>
    <w:rsid w:val="0DE59287"/>
    <w:rsid w:val="0EF8EDA9"/>
    <w:rsid w:val="0FA68D5E"/>
    <w:rsid w:val="1109D9A5"/>
    <w:rsid w:val="11BCD594"/>
    <w:rsid w:val="11D93632"/>
    <w:rsid w:val="12386B46"/>
    <w:rsid w:val="13097907"/>
    <w:rsid w:val="139065B1"/>
    <w:rsid w:val="16152044"/>
    <w:rsid w:val="164FC965"/>
    <w:rsid w:val="16C93585"/>
    <w:rsid w:val="16E6A0B6"/>
    <w:rsid w:val="16ED656E"/>
    <w:rsid w:val="170AD48A"/>
    <w:rsid w:val="178B00F0"/>
    <w:rsid w:val="17EDC521"/>
    <w:rsid w:val="1863C82A"/>
    <w:rsid w:val="194A1985"/>
    <w:rsid w:val="19521953"/>
    <w:rsid w:val="1952E881"/>
    <w:rsid w:val="196772D5"/>
    <w:rsid w:val="1A97CBBC"/>
    <w:rsid w:val="1AB3EF2C"/>
    <w:rsid w:val="1AC02500"/>
    <w:rsid w:val="1B9AAE27"/>
    <w:rsid w:val="1B9BBDED"/>
    <w:rsid w:val="1C03C96C"/>
    <w:rsid w:val="1DEFDB63"/>
    <w:rsid w:val="1ECA2C4F"/>
    <w:rsid w:val="1F359252"/>
    <w:rsid w:val="1F8D0590"/>
    <w:rsid w:val="1FD417A7"/>
    <w:rsid w:val="2044CE60"/>
    <w:rsid w:val="20A518F1"/>
    <w:rsid w:val="2145B956"/>
    <w:rsid w:val="228F75E3"/>
    <w:rsid w:val="230B0589"/>
    <w:rsid w:val="23336FF4"/>
    <w:rsid w:val="242F95DC"/>
    <w:rsid w:val="25836FAC"/>
    <w:rsid w:val="2596456B"/>
    <w:rsid w:val="2602181C"/>
    <w:rsid w:val="26BD4B9F"/>
    <w:rsid w:val="26CC0193"/>
    <w:rsid w:val="26D8F7EC"/>
    <w:rsid w:val="2729ABAD"/>
    <w:rsid w:val="273921C1"/>
    <w:rsid w:val="27400E2D"/>
    <w:rsid w:val="27ABF48F"/>
    <w:rsid w:val="280307EB"/>
    <w:rsid w:val="2812D554"/>
    <w:rsid w:val="28B5C94D"/>
    <w:rsid w:val="28F4EF9B"/>
    <w:rsid w:val="2A7928C4"/>
    <w:rsid w:val="2B1833DF"/>
    <w:rsid w:val="2B322B7D"/>
    <w:rsid w:val="2B9B8D6D"/>
    <w:rsid w:val="2D2BB55D"/>
    <w:rsid w:val="2D6152FF"/>
    <w:rsid w:val="2E3E3BF5"/>
    <w:rsid w:val="2E6D7FF6"/>
    <w:rsid w:val="2FA9FD32"/>
    <w:rsid w:val="30359215"/>
    <w:rsid w:val="30B6D38A"/>
    <w:rsid w:val="3293865B"/>
    <w:rsid w:val="33323847"/>
    <w:rsid w:val="33326B18"/>
    <w:rsid w:val="339D30D6"/>
    <w:rsid w:val="33CF514A"/>
    <w:rsid w:val="340BD675"/>
    <w:rsid w:val="343E2F1B"/>
    <w:rsid w:val="359DCBF2"/>
    <w:rsid w:val="35C777F8"/>
    <w:rsid w:val="35CFDF44"/>
    <w:rsid w:val="364CB42E"/>
    <w:rsid w:val="36924C61"/>
    <w:rsid w:val="36D6D688"/>
    <w:rsid w:val="37548081"/>
    <w:rsid w:val="37DC674A"/>
    <w:rsid w:val="37EABBA0"/>
    <w:rsid w:val="38204516"/>
    <w:rsid w:val="3C28564B"/>
    <w:rsid w:val="3C933B65"/>
    <w:rsid w:val="3CA4444D"/>
    <w:rsid w:val="3CACF066"/>
    <w:rsid w:val="3CD2C2EB"/>
    <w:rsid w:val="3D0130E3"/>
    <w:rsid w:val="3D7808FF"/>
    <w:rsid w:val="3DA243FA"/>
    <w:rsid w:val="3E1EBB1E"/>
    <w:rsid w:val="3E402A71"/>
    <w:rsid w:val="3F9BCE05"/>
    <w:rsid w:val="3FB510C1"/>
    <w:rsid w:val="40BCC5C7"/>
    <w:rsid w:val="4101D1E6"/>
    <w:rsid w:val="415D2F14"/>
    <w:rsid w:val="41F6536D"/>
    <w:rsid w:val="420492D9"/>
    <w:rsid w:val="42EFA073"/>
    <w:rsid w:val="434592C0"/>
    <w:rsid w:val="452E6055"/>
    <w:rsid w:val="45F34827"/>
    <w:rsid w:val="46B73BE7"/>
    <w:rsid w:val="46CB3D51"/>
    <w:rsid w:val="478BF1B6"/>
    <w:rsid w:val="47B50265"/>
    <w:rsid w:val="4885315F"/>
    <w:rsid w:val="489D80DC"/>
    <w:rsid w:val="48D1CCEB"/>
    <w:rsid w:val="498C05CD"/>
    <w:rsid w:val="49EA8BE3"/>
    <w:rsid w:val="49F222DB"/>
    <w:rsid w:val="4B3247FB"/>
    <w:rsid w:val="4C1B59BE"/>
    <w:rsid w:val="4E76062A"/>
    <w:rsid w:val="4ED1879E"/>
    <w:rsid w:val="5117CAA8"/>
    <w:rsid w:val="512EEB03"/>
    <w:rsid w:val="515B1726"/>
    <w:rsid w:val="52EE596E"/>
    <w:rsid w:val="532C285D"/>
    <w:rsid w:val="53C0E1A4"/>
    <w:rsid w:val="5431C3EA"/>
    <w:rsid w:val="55360960"/>
    <w:rsid w:val="55A6A1F2"/>
    <w:rsid w:val="568E17C0"/>
    <w:rsid w:val="579A625B"/>
    <w:rsid w:val="5808B66E"/>
    <w:rsid w:val="5820DE1D"/>
    <w:rsid w:val="588B26D1"/>
    <w:rsid w:val="590120C9"/>
    <w:rsid w:val="595E08EC"/>
    <w:rsid w:val="5973C658"/>
    <w:rsid w:val="5A564F3A"/>
    <w:rsid w:val="5A8835EE"/>
    <w:rsid w:val="5AB564E0"/>
    <w:rsid w:val="5B6D1790"/>
    <w:rsid w:val="5BFCD882"/>
    <w:rsid w:val="5C7AAFAE"/>
    <w:rsid w:val="5CBE1158"/>
    <w:rsid w:val="5CF6265C"/>
    <w:rsid w:val="5CFB83E5"/>
    <w:rsid w:val="5D533CF4"/>
    <w:rsid w:val="5DB78BA6"/>
    <w:rsid w:val="5DE08F76"/>
    <w:rsid w:val="5DE7B76C"/>
    <w:rsid w:val="5DFFC869"/>
    <w:rsid w:val="5E888CC8"/>
    <w:rsid w:val="5E8AA56E"/>
    <w:rsid w:val="5EA27F9D"/>
    <w:rsid w:val="5F16B9DF"/>
    <w:rsid w:val="5F6DDE42"/>
    <w:rsid w:val="5FEA6885"/>
    <w:rsid w:val="60103062"/>
    <w:rsid w:val="60D71FB8"/>
    <w:rsid w:val="615A94A2"/>
    <w:rsid w:val="6203A236"/>
    <w:rsid w:val="62696A4E"/>
    <w:rsid w:val="634E48EE"/>
    <w:rsid w:val="63ABB59D"/>
    <w:rsid w:val="63CB52B1"/>
    <w:rsid w:val="64882552"/>
    <w:rsid w:val="64C65CFB"/>
    <w:rsid w:val="668031F1"/>
    <w:rsid w:val="66E7059A"/>
    <w:rsid w:val="67A58C1B"/>
    <w:rsid w:val="67E7FDC6"/>
    <w:rsid w:val="681E2CAB"/>
    <w:rsid w:val="68321F2C"/>
    <w:rsid w:val="68B8DE55"/>
    <w:rsid w:val="699E7125"/>
    <w:rsid w:val="6AA2FDFD"/>
    <w:rsid w:val="6C7F7151"/>
    <w:rsid w:val="6D4A2B6D"/>
    <w:rsid w:val="6D786EAB"/>
    <w:rsid w:val="6D7C9927"/>
    <w:rsid w:val="6DEC4EFF"/>
    <w:rsid w:val="6E707D47"/>
    <w:rsid w:val="6F44684A"/>
    <w:rsid w:val="6F9CEEB4"/>
    <w:rsid w:val="6FE8FA0D"/>
    <w:rsid w:val="7025CF1C"/>
    <w:rsid w:val="70642474"/>
    <w:rsid w:val="708F16E4"/>
    <w:rsid w:val="70A3518C"/>
    <w:rsid w:val="70ABEA4D"/>
    <w:rsid w:val="7109FE7C"/>
    <w:rsid w:val="713B5ECC"/>
    <w:rsid w:val="7160115B"/>
    <w:rsid w:val="7205768F"/>
    <w:rsid w:val="72CA706B"/>
    <w:rsid w:val="72F8FE1B"/>
    <w:rsid w:val="7423D7A9"/>
    <w:rsid w:val="74700496"/>
    <w:rsid w:val="7558AFF1"/>
    <w:rsid w:val="75A82418"/>
    <w:rsid w:val="76061FFC"/>
    <w:rsid w:val="767FE249"/>
    <w:rsid w:val="768E2814"/>
    <w:rsid w:val="7694D489"/>
    <w:rsid w:val="78E8064C"/>
    <w:rsid w:val="78EA9BDD"/>
    <w:rsid w:val="792E2257"/>
    <w:rsid w:val="79773A7B"/>
    <w:rsid w:val="79891C34"/>
    <w:rsid w:val="79F3AC4F"/>
    <w:rsid w:val="7A99A373"/>
    <w:rsid w:val="7BA32A83"/>
    <w:rsid w:val="7BC0D81A"/>
    <w:rsid w:val="7BF943C0"/>
    <w:rsid w:val="7C1D4214"/>
    <w:rsid w:val="7C76D4A5"/>
    <w:rsid w:val="7E00FA40"/>
    <w:rsid w:val="7FFFD8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2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 w:type="character" w:customStyle="1" w:styleId="normaltextrun">
    <w:name w:val="normaltextrun"/>
    <w:basedOn w:val="Zadanifontodlomka"/>
    <w:rsid w:val="003440E5"/>
  </w:style>
  <w:style w:type="character" w:customStyle="1" w:styleId="eop">
    <w:name w:val="eop"/>
    <w:basedOn w:val="Zadanifontodlomka"/>
    <w:rsid w:val="003440E5"/>
  </w:style>
  <w:style w:type="character" w:styleId="SlijeenaHiperveza">
    <w:name w:val="FollowedHyperlink"/>
    <w:basedOn w:val="Zadanifontodlomka"/>
    <w:uiPriority w:val="99"/>
    <w:semiHidden/>
    <w:unhideWhenUsed/>
    <w:rsid w:val="002D4D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 w:type="character" w:customStyle="1" w:styleId="normaltextrun">
    <w:name w:val="normaltextrun"/>
    <w:basedOn w:val="Zadanifontodlomka"/>
    <w:rsid w:val="003440E5"/>
  </w:style>
  <w:style w:type="character" w:customStyle="1" w:styleId="eop">
    <w:name w:val="eop"/>
    <w:basedOn w:val="Zadanifontodlomka"/>
    <w:rsid w:val="003440E5"/>
  </w:style>
  <w:style w:type="character" w:styleId="SlijeenaHiperveza">
    <w:name w:val="FollowedHyperlink"/>
    <w:basedOn w:val="Zadanifontodlomka"/>
    <w:uiPriority w:val="99"/>
    <w:semiHidden/>
    <w:unhideWhenUsed/>
    <w:rsid w:val="002D4D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zvoj.gov.hr/upisnik-regionalnih-koordinatora-i-lokalnih-razvojnih-agencija/4007"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1984</Words>
  <Characters>11314</Characters>
  <Application>Microsoft Office Word</Application>
  <DocSecurity>4</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AP</cp:lastModifiedBy>
  <cp:revision>2</cp:revision>
  <cp:lastPrinted>2020-02-24T10:11:00Z</cp:lastPrinted>
  <dcterms:created xsi:type="dcterms:W3CDTF">2020-07-31T14:32:00Z</dcterms:created>
  <dcterms:modified xsi:type="dcterms:W3CDTF">2020-07-31T14:32:00Z</dcterms:modified>
</cp:coreProperties>
</file>