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7FDB1" w14:textId="77777777" w:rsidR="007874FC" w:rsidRDefault="007874FC"/>
    <w:p w14:paraId="5FC071B6" w14:textId="77777777" w:rsidR="00871A0C" w:rsidRDefault="00871A0C"/>
    <w:p w14:paraId="1D8C37E9" w14:textId="358E675D" w:rsidR="0016404E" w:rsidRPr="006770C1" w:rsidRDefault="0016404E">
      <w:pPr>
        <w:rPr>
          <w:b/>
        </w:rPr>
      </w:pPr>
      <w:r w:rsidRPr="006770C1">
        <w:rPr>
          <w:b/>
        </w:rPr>
        <w:t xml:space="preserve">Pitanja </w:t>
      </w:r>
      <w:r w:rsidR="00C0716C">
        <w:rPr>
          <w:b/>
        </w:rPr>
        <w:t>postavljena na radionici u okviru Poziva</w:t>
      </w:r>
      <w:r w:rsidRPr="006770C1">
        <w:rPr>
          <w:b/>
        </w:rPr>
        <w:t xml:space="preserve"> „</w:t>
      </w:r>
      <w:r w:rsidR="009A0166">
        <w:rPr>
          <w:b/>
        </w:rPr>
        <w:t xml:space="preserve">Kultura u centru – potpora razvoju javno-civilnog partnerstva u kulturi“, </w:t>
      </w:r>
      <w:r w:rsidR="00C70D22">
        <w:rPr>
          <w:b/>
        </w:rPr>
        <w:t>Zagreb</w:t>
      </w:r>
      <w:r w:rsidR="00C0716C">
        <w:rPr>
          <w:b/>
        </w:rPr>
        <w:t xml:space="preserve">, </w:t>
      </w:r>
      <w:r w:rsidR="0091513D">
        <w:rPr>
          <w:b/>
        </w:rPr>
        <w:t>19</w:t>
      </w:r>
      <w:r w:rsidR="00C0716C">
        <w:rPr>
          <w:b/>
        </w:rPr>
        <w:t>. siječnja 2018.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4678"/>
      </w:tblGrid>
      <w:tr w:rsidR="001A1DD2" w:rsidRPr="001554C4" w14:paraId="1A380D53" w14:textId="77777777" w:rsidTr="001A1DD2">
        <w:trPr>
          <w:trHeight w:val="346"/>
        </w:trPr>
        <w:tc>
          <w:tcPr>
            <w:tcW w:w="562" w:type="dxa"/>
            <w:shd w:val="pct15" w:color="auto" w:fill="auto"/>
          </w:tcPr>
          <w:p w14:paraId="2A7EC7A5" w14:textId="77777777" w:rsidR="001A1DD2" w:rsidRPr="00984B3A" w:rsidRDefault="001A1DD2" w:rsidP="00EF72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Br.</w:t>
            </w:r>
          </w:p>
        </w:tc>
        <w:tc>
          <w:tcPr>
            <w:tcW w:w="4253" w:type="dxa"/>
            <w:shd w:val="pct15" w:color="auto" w:fill="auto"/>
          </w:tcPr>
          <w:p w14:paraId="7DF65FF8" w14:textId="77777777" w:rsidR="001A1DD2" w:rsidRPr="00984B3A" w:rsidRDefault="001A1DD2" w:rsidP="00EF728D">
            <w:pPr>
              <w:rPr>
                <w:b/>
                <w:lang w:val="en-US"/>
              </w:rPr>
            </w:pPr>
            <w:r w:rsidRPr="00984B3A">
              <w:rPr>
                <w:b/>
                <w:lang w:val="en-US"/>
              </w:rPr>
              <w:t>PITANJE</w:t>
            </w:r>
          </w:p>
        </w:tc>
        <w:tc>
          <w:tcPr>
            <w:tcW w:w="4678" w:type="dxa"/>
            <w:shd w:val="pct15" w:color="auto" w:fill="auto"/>
          </w:tcPr>
          <w:p w14:paraId="6FCCADE5" w14:textId="77777777" w:rsidR="001A1DD2" w:rsidRPr="00984B3A" w:rsidRDefault="001A1DD2" w:rsidP="00EF728D">
            <w:pPr>
              <w:pStyle w:val="FootnoteText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hr-HR" w:eastAsia="en-US"/>
              </w:rPr>
            </w:pPr>
            <w:r w:rsidRPr="00984B3A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hr-HR" w:eastAsia="en-US"/>
              </w:rPr>
              <w:t>ODGOVOR</w:t>
            </w:r>
          </w:p>
        </w:tc>
      </w:tr>
      <w:tr w:rsidR="001A1DD2" w:rsidRPr="004D0E1C" w14:paraId="79B52B6B" w14:textId="77777777" w:rsidTr="001A1DD2">
        <w:tc>
          <w:tcPr>
            <w:tcW w:w="562" w:type="dxa"/>
          </w:tcPr>
          <w:p w14:paraId="7363E89D" w14:textId="77777777" w:rsidR="001A1DD2" w:rsidRPr="00070AC9" w:rsidRDefault="001A1DD2" w:rsidP="00EF728D">
            <w:pPr>
              <w:rPr>
                <w:rFonts w:cstheme="minorHAnsi"/>
                <w:highlight w:val="yellow"/>
              </w:rPr>
            </w:pPr>
            <w:r w:rsidRPr="001554C4">
              <w:rPr>
                <w:rFonts w:cstheme="minorHAnsi"/>
              </w:rPr>
              <w:t>1</w:t>
            </w:r>
          </w:p>
        </w:tc>
        <w:tc>
          <w:tcPr>
            <w:tcW w:w="4253" w:type="dxa"/>
          </w:tcPr>
          <w:p w14:paraId="0053A3F7" w14:textId="2B2757EA" w:rsidR="001A1DD2" w:rsidRPr="009D09CE" w:rsidRDefault="001A1DD2" w:rsidP="00202123">
            <w:r>
              <w:t>Jesu li prihvatljivi troškovi adaptacije isključivo onih prostora koji su u vlasništvu jedinice lokalne samouprave, ili je prihvatljiva adaptacija prostora u vlasništvu neke druge organizacije/ ustanove koja je prijavitelj/ partner na projektu?</w:t>
            </w:r>
          </w:p>
        </w:tc>
        <w:tc>
          <w:tcPr>
            <w:tcW w:w="4678" w:type="dxa"/>
          </w:tcPr>
          <w:p w14:paraId="695B3241" w14:textId="77777777" w:rsidR="001A1DD2" w:rsidRDefault="001A1DD2" w:rsidP="00B64413">
            <w:pPr>
              <w:rPr>
                <w:bCs/>
              </w:rPr>
            </w:pPr>
            <w:r w:rsidRPr="00BC6670">
              <w:rPr>
                <w:bCs/>
              </w:rPr>
              <w:t>Troškovi adaptacije prihvatljivi su jedino pod uvjetom da se odnose na prostor koji je u vlasništvu jedinice lokalne ili područne (regionalne) samouprave koja je prijavitelj ili partner na projektu.</w:t>
            </w:r>
            <w:r>
              <w:rPr>
                <w:bCs/>
              </w:rPr>
              <w:t xml:space="preserve"> </w:t>
            </w:r>
          </w:p>
          <w:p w14:paraId="2AE4A6EA" w14:textId="77777777" w:rsidR="001A1DD2" w:rsidRDefault="001A1DD2" w:rsidP="00B64413">
            <w:pPr>
              <w:rPr>
                <w:bCs/>
              </w:rPr>
            </w:pPr>
          </w:p>
          <w:p w14:paraId="23C5E37E" w14:textId="6AA3D9BA" w:rsidR="001A1DD2" w:rsidRPr="00334E3B" w:rsidRDefault="001A1DD2" w:rsidP="00B64413">
            <w:pPr>
              <w:rPr>
                <w:bCs/>
              </w:rPr>
            </w:pPr>
            <w:r w:rsidRPr="008B1E72">
              <w:rPr>
                <w:bCs/>
              </w:rPr>
              <w:t>Nadalje, prihvatl</w:t>
            </w:r>
            <w:r>
              <w:rPr>
                <w:bCs/>
              </w:rPr>
              <w:t xml:space="preserve">jivi su isključivo troškovi adaptacije </w:t>
            </w:r>
            <w:r w:rsidRPr="008B1E72">
              <w:rPr>
                <w:bCs/>
              </w:rPr>
              <w:t>prostor</w:t>
            </w:r>
            <w:r>
              <w:rPr>
                <w:bCs/>
              </w:rPr>
              <w:t>a</w:t>
            </w:r>
            <w:r w:rsidRPr="008B1E72">
              <w:rPr>
                <w:bCs/>
              </w:rPr>
              <w:t xml:space="preserve"> društveno-kulturnih centara u kojima se provode projektne aktivnosti, odnosno javn</w:t>
            </w:r>
            <w:r>
              <w:rPr>
                <w:bCs/>
              </w:rPr>
              <w:t>e</w:t>
            </w:r>
            <w:r w:rsidRPr="008B1E72">
              <w:rPr>
                <w:bCs/>
              </w:rPr>
              <w:t xml:space="preserve"> infrastruktur</w:t>
            </w:r>
            <w:r>
              <w:rPr>
                <w:bCs/>
              </w:rPr>
              <w:t>e</w:t>
            </w:r>
            <w:r w:rsidRPr="008B1E72">
              <w:rPr>
                <w:bCs/>
              </w:rPr>
              <w:t xml:space="preserve"> na koju se odnosi izrada modela sudioničkog upravljanja/u kojoj se implementira model sudioničkog upravljanja.</w:t>
            </w:r>
          </w:p>
        </w:tc>
      </w:tr>
      <w:tr w:rsidR="001A1DD2" w:rsidRPr="004D0E1C" w14:paraId="165E161E" w14:textId="77777777" w:rsidTr="009D32B1">
        <w:trPr>
          <w:trHeight w:val="2501"/>
        </w:trPr>
        <w:tc>
          <w:tcPr>
            <w:tcW w:w="562" w:type="dxa"/>
          </w:tcPr>
          <w:p w14:paraId="364F9D82" w14:textId="77777777" w:rsidR="001A1DD2" w:rsidRDefault="001A1DD2" w:rsidP="00D33FD9">
            <w:pPr>
              <w:rPr>
                <w:rFonts w:cstheme="minorHAnsi"/>
              </w:rPr>
            </w:pPr>
            <w:r w:rsidRPr="001554C4">
              <w:rPr>
                <w:rFonts w:cstheme="minorHAnsi"/>
              </w:rPr>
              <w:t>2</w:t>
            </w:r>
          </w:p>
        </w:tc>
        <w:tc>
          <w:tcPr>
            <w:tcW w:w="4253" w:type="dxa"/>
          </w:tcPr>
          <w:p w14:paraId="1838032A" w14:textId="0FD1248A" w:rsidR="001A1DD2" w:rsidRPr="00572605" w:rsidRDefault="001A1DD2" w:rsidP="00A57E90">
            <w:pPr>
              <w:spacing w:after="240"/>
            </w:pPr>
            <w:r>
              <w:t>Napomenuto je da je u razradi svrhe i opravdanosti projektnog prijedloga potrebno navesti statističke podatke vezane uz ciljnu skupinu i predstaviti probleme ciljne skupine, a kasnije je u tom kontekstu spomenuta lokalna zajednica. Je li potrebno navesti probleme ciljanih skupina (udruga, ustanova u kulturi, JLS-ova i dr.) ili lokalne zajednice?</w:t>
            </w:r>
          </w:p>
        </w:tc>
        <w:tc>
          <w:tcPr>
            <w:tcW w:w="4678" w:type="dxa"/>
          </w:tcPr>
          <w:p w14:paraId="6E679222" w14:textId="36DBD33B" w:rsidR="001A1DD2" w:rsidRPr="008325C6" w:rsidRDefault="001A1DD2" w:rsidP="008B1E72">
            <w:r>
              <w:t>Sukladno odredbama Priloga 3 natječajne dokumentacije „Korisnički priručnik za popunjavanje prijavnog obrasca A" (vidi str. 19. i 20.) te u skladu s kriterijem dodjele 3 „</w:t>
            </w:r>
            <w:r w:rsidRPr="00A57E90">
              <w:t>Relevantnost projektnih aktivnosti u odnosu na ciljane skupine</w:t>
            </w:r>
            <w:r>
              <w:t xml:space="preserve">“ (molimo vidjeti obrazloženje bodova), navedenim u točki </w:t>
            </w:r>
            <w:r w:rsidRPr="00A57E90">
              <w:t xml:space="preserve">6.2 </w:t>
            </w:r>
            <w:r w:rsidRPr="00A57E90">
              <w:rPr>
                <w:i/>
              </w:rPr>
              <w:t>Procjena kvalitete</w:t>
            </w:r>
            <w:r>
              <w:t xml:space="preserve"> Uputa za prijavitelje, potrebno je navesti probleme i potrebe ciljanih skupina, kao i </w:t>
            </w:r>
            <w:r w:rsidRPr="008B1E72">
              <w:t xml:space="preserve">probleme i potrebe </w:t>
            </w:r>
            <w:r>
              <w:t>lokalne zajednice.</w:t>
            </w:r>
          </w:p>
        </w:tc>
      </w:tr>
      <w:tr w:rsidR="001A1DD2" w:rsidRPr="004D0E1C" w14:paraId="2737D195" w14:textId="77777777" w:rsidTr="001A1DD2">
        <w:tc>
          <w:tcPr>
            <w:tcW w:w="562" w:type="dxa"/>
          </w:tcPr>
          <w:p w14:paraId="328348CD" w14:textId="66C5C940" w:rsidR="001A1DD2" w:rsidRPr="0071044F" w:rsidRDefault="001A1DD2" w:rsidP="00D33FD9">
            <w:pPr>
              <w:rPr>
                <w:rFonts w:cstheme="minorHAnsi"/>
              </w:rPr>
            </w:pPr>
            <w:r w:rsidRPr="0071044F">
              <w:rPr>
                <w:rFonts w:cstheme="minorHAnsi"/>
              </w:rPr>
              <w:t>3</w:t>
            </w:r>
          </w:p>
        </w:tc>
        <w:tc>
          <w:tcPr>
            <w:tcW w:w="4253" w:type="dxa"/>
          </w:tcPr>
          <w:p w14:paraId="62D64FA6" w14:textId="7210E087" w:rsidR="001A1DD2" w:rsidRPr="00A94AB2" w:rsidRDefault="001A1DD2" w:rsidP="00067B5E">
            <w:r>
              <w:t>U okviru skupine aktivnosti B navedena je prihvatljiva aktivnost</w:t>
            </w:r>
            <w:r w:rsidRPr="002E1BF5">
              <w:t xml:space="preserve"> </w:t>
            </w:r>
            <w:r>
              <w:t>„</w:t>
            </w:r>
            <w:r w:rsidRPr="002E1BF5">
              <w:t>uspostave suradnje i umrežavanja te prijenos znanja i iskustava</w:t>
            </w:r>
            <w:r>
              <w:t xml:space="preserve"> u svrhu izgradnje kapaciteta </w:t>
            </w:r>
            <w:r w:rsidRPr="002E1BF5">
              <w:t>u području sudioničkog planiranja, programiranja, odlučivanja i upravljanja u kulturi za ciljane skupine</w:t>
            </w:r>
            <w:r>
              <w:t>“, a s tim u vezi je u okviru prezentacije spomenuto stvaranje platforma i mreža kao aktivnost. Što se podrazumijeva pod platformom/ mrežom? Je li to proces stabilizacije partnera u projektu u neku operativnu, smislenu platformu ili bi to trebalo implicirati stvaranje veće platforme, s većim brojem članova?</w:t>
            </w:r>
          </w:p>
        </w:tc>
        <w:tc>
          <w:tcPr>
            <w:tcW w:w="4678" w:type="dxa"/>
          </w:tcPr>
          <w:p w14:paraId="1389C42E" w14:textId="01D28A2A" w:rsidR="001A1DD2" w:rsidRPr="007F159A" w:rsidRDefault="001A1DD2" w:rsidP="00FD160F">
            <w:r>
              <w:t xml:space="preserve">Obje navedene mogućnosti su prihvatljive. Platforma može uključivati samo prijavitelja i partnere, ili može obuhvaćati organizacije izvan projektnog partnerstva, ovisno o predloženim projektnim aktivnostima i ciljevima projektnog prijedloga. </w:t>
            </w:r>
          </w:p>
        </w:tc>
      </w:tr>
      <w:tr w:rsidR="001A1DD2" w:rsidRPr="004D0E1C" w14:paraId="533E2FED" w14:textId="77777777" w:rsidTr="001A1DD2">
        <w:tc>
          <w:tcPr>
            <w:tcW w:w="562" w:type="dxa"/>
          </w:tcPr>
          <w:p w14:paraId="237015CD" w14:textId="5DEACD26" w:rsidR="001A1DD2" w:rsidRPr="0071044F" w:rsidRDefault="001A1DD2" w:rsidP="00EF728D">
            <w:pPr>
              <w:rPr>
                <w:rFonts w:cstheme="minorHAnsi"/>
              </w:rPr>
            </w:pPr>
            <w:r w:rsidRPr="0071044F">
              <w:rPr>
                <w:rFonts w:cstheme="minorHAnsi"/>
              </w:rPr>
              <w:t>4</w:t>
            </w:r>
          </w:p>
        </w:tc>
        <w:tc>
          <w:tcPr>
            <w:tcW w:w="4253" w:type="dxa"/>
          </w:tcPr>
          <w:p w14:paraId="1345E475" w14:textId="733D73A6" w:rsidR="001A1DD2" w:rsidRPr="007E5ABB" w:rsidRDefault="001A1DD2" w:rsidP="000510D3">
            <w:r>
              <w:t>Je li prihvatljivo da se projektne aktivnosti u okviru skupine aktivnosti A provode na području više jedinica lokalne samouprave, uz njihovu suglasnost?</w:t>
            </w:r>
          </w:p>
        </w:tc>
        <w:tc>
          <w:tcPr>
            <w:tcW w:w="4678" w:type="dxa"/>
          </w:tcPr>
          <w:p w14:paraId="6BBFD3FC" w14:textId="7B1C852B" w:rsidR="001A1DD2" w:rsidRDefault="001A1DD2" w:rsidP="004B6E7C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Ukoliko je jasno opisana potreba provedbe projektnih aktivnosti na više lokacija provedbe i ukoliko je jasno obrazložen doprinos takvih aktivnosti ostvarenju ciljeva projektnog prijedloga i Poziva, navedeno je prihvatljivo.</w:t>
            </w:r>
          </w:p>
          <w:p w14:paraId="2DEF5FE2" w14:textId="67205BB8" w:rsidR="001A1DD2" w:rsidRPr="00107E41" w:rsidRDefault="001A1DD2" w:rsidP="004B6E7C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Napominjemo da su u okviru skupine aktivnosti A obavezne aktivnosti r</w:t>
            </w:r>
            <w:r w:rsidRPr="00D82909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azvoj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a</w:t>
            </w:r>
            <w:r w:rsidRPr="00D82909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i/ili uspostave</w:t>
            </w:r>
            <w:r w:rsidRPr="00D82909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</w:t>
            </w:r>
            <w:r w:rsidRPr="00D82909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lastRenderedPageBreak/>
              <w:t>modela sudioničkog upravljanja u kulturi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(vidi točku </w:t>
            </w:r>
            <w:r w:rsidRPr="00D82909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3.3 </w:t>
            </w:r>
            <w:r w:rsidRPr="00D82909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hr-HR" w:eastAsia="en-US"/>
              </w:rPr>
              <w:t>Prihvatljive aktivnosti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Uputa za prijavitelje) koji se primjenjuje na jedinicu lokalne samouprave koja je prijavitelj/ partner na projektu.</w:t>
            </w:r>
          </w:p>
        </w:tc>
      </w:tr>
      <w:tr w:rsidR="001A1DD2" w:rsidRPr="004D0E1C" w14:paraId="495BACF7" w14:textId="77777777" w:rsidTr="001A1DD2">
        <w:tc>
          <w:tcPr>
            <w:tcW w:w="562" w:type="dxa"/>
          </w:tcPr>
          <w:p w14:paraId="13C1743D" w14:textId="39346CC6" w:rsidR="001A1DD2" w:rsidRDefault="001A1DD2" w:rsidP="00EF728D">
            <w:pPr>
              <w:rPr>
                <w:rFonts w:cstheme="minorHAnsi"/>
              </w:rPr>
            </w:pPr>
            <w:r w:rsidRPr="001554C4">
              <w:rPr>
                <w:rFonts w:cstheme="minorHAnsi"/>
              </w:rPr>
              <w:lastRenderedPageBreak/>
              <w:t>5</w:t>
            </w:r>
          </w:p>
        </w:tc>
        <w:tc>
          <w:tcPr>
            <w:tcW w:w="4253" w:type="dxa"/>
          </w:tcPr>
          <w:p w14:paraId="401DB949" w14:textId="6A8726D3" w:rsidR="001A1DD2" w:rsidRPr="007E5ABB" w:rsidRDefault="001A1DD2" w:rsidP="00252FDF">
            <w:pPr>
              <w:shd w:val="clear" w:color="auto" w:fill="FFFFFF"/>
            </w:pPr>
            <w:r>
              <w:t>Je li u okviru skupine aktivnosti A prihvatljiva jedino adaptacija u smislu građevinskih radova, ili je prihvatljiva i izrada projektne dokumentacije za adaptaciju?</w:t>
            </w:r>
          </w:p>
        </w:tc>
        <w:tc>
          <w:tcPr>
            <w:tcW w:w="4678" w:type="dxa"/>
          </w:tcPr>
          <w:p w14:paraId="4F59F6BE" w14:textId="34520472" w:rsidR="001A1DD2" w:rsidRPr="0060241F" w:rsidRDefault="001A1DD2" w:rsidP="00B64413">
            <w:r>
              <w:t xml:space="preserve">Troškovi </w:t>
            </w:r>
            <w:r w:rsidRPr="008B1E72">
              <w:t>izrade arhitektonske/tehničke dokumentacije za izvođenje adaptacijskih radova</w:t>
            </w:r>
            <w:r w:rsidRPr="008B1E72" w:rsidDel="008B1E72">
              <w:t xml:space="preserve"> </w:t>
            </w:r>
            <w:r>
              <w:t>nisu prihvatljiv trošak u okviru ovog Poziva. Preporučujemo da se izrada projekta adaptacije provede prije podnošenja projektnog prijedloga kako bi se mogli utvrditi realni troškovi adaptacije za potrebe sastavljanja proračuna projektnog prijedloga.</w:t>
            </w:r>
          </w:p>
        </w:tc>
      </w:tr>
      <w:tr w:rsidR="001A1DD2" w:rsidRPr="004D0E1C" w14:paraId="5414D5CC" w14:textId="77777777" w:rsidTr="001A1DD2">
        <w:tc>
          <w:tcPr>
            <w:tcW w:w="562" w:type="dxa"/>
          </w:tcPr>
          <w:p w14:paraId="5D0766AE" w14:textId="77777777" w:rsidR="001A1DD2" w:rsidRDefault="001A1DD2" w:rsidP="00EF728D">
            <w:pPr>
              <w:rPr>
                <w:rFonts w:cstheme="minorHAnsi"/>
              </w:rPr>
            </w:pPr>
            <w:r w:rsidRPr="001554C4">
              <w:rPr>
                <w:rFonts w:cstheme="minorHAnsi"/>
              </w:rPr>
              <w:t>6</w:t>
            </w:r>
          </w:p>
        </w:tc>
        <w:tc>
          <w:tcPr>
            <w:tcW w:w="4253" w:type="dxa"/>
          </w:tcPr>
          <w:p w14:paraId="51CCDEEF" w14:textId="1612A909" w:rsidR="001A1DD2" w:rsidRPr="00885711" w:rsidRDefault="001A1DD2" w:rsidP="0049260D">
            <w:r>
              <w:t>Vezano uz pokazatelj SO 408 „</w:t>
            </w:r>
            <w:r w:rsidRPr="00C978F0">
              <w:t>Broj (lokalnih) organizacija civilnog društva koje sudjeluju u aktivnostima izgradnje kapaciteta relevantnih za svoje područje rada</w:t>
            </w:r>
            <w:r>
              <w:t>“, odnosno uz OCD-e koji su sudionici projektnih aktivnosti, a da istovremeno nisu prijavitelj ili partner – moramo li u projektnom prijedlogu navoditi imena tih OCD-a, ili je dovoljno navesti samo broj?</w:t>
            </w:r>
          </w:p>
        </w:tc>
        <w:tc>
          <w:tcPr>
            <w:tcW w:w="4678" w:type="dxa"/>
          </w:tcPr>
          <w:p w14:paraId="20C3CB4B" w14:textId="77777777" w:rsidR="001A1DD2" w:rsidRDefault="001A1DD2" w:rsidP="00A70BFB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U okviru rubrike „Ciljevi projekta s pokazateljima“ prijavnog obrasca A potrebno je navesti brojčani doprinos navedenom pokazatelju. </w:t>
            </w:r>
          </w:p>
          <w:p w14:paraId="40BFFF15" w14:textId="77777777" w:rsidR="001A1DD2" w:rsidRDefault="001A1DD2" w:rsidP="00A70BFB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</w:p>
          <w:p w14:paraId="3AD75ADE" w14:textId="47BD5925" w:rsidR="001A1DD2" w:rsidRDefault="001A1DD2" w:rsidP="00A70BFB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Prijavitelj nije dužan navoditi imena organizacija koje će sudjelovati u projektnim aktivnostima, no ciljanu skupinu je potrebno opisati odnosno potrebno je obrazložiti probleme i potrebe organizacija koje će kao ciljane skupine sudjelovati u projektnim aktivnostima. Napominjemo da se u okviru kriterija 3 „</w:t>
            </w:r>
            <w:r w:rsidRPr="00C85C0C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Relevantnost projektnih aktivnosti u odnosu na ciljane skupine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“ (navedenom u točki </w:t>
            </w:r>
            <w:r w:rsidRPr="00C85C0C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6.2 Procjena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kvalitete Uputa za prijavitelje) ocjenjuje relevantnost projektnih aktivnosti u odnosu na identificirane probleme i potrebe ciljane skupine.</w:t>
            </w:r>
          </w:p>
          <w:p w14:paraId="26A04254" w14:textId="77777777" w:rsidR="001A1DD2" w:rsidRDefault="001A1DD2" w:rsidP="00A70BFB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</w:p>
          <w:p w14:paraId="67AAA6BD" w14:textId="72C5BAE8" w:rsidR="001A1DD2" w:rsidRPr="00A70BFB" w:rsidRDefault="001A1DD2" w:rsidP="00A70BFB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 w:rsidRPr="00A70BFB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Ukoliko projektni prijedlog bude odabran za </w:t>
            </w:r>
          </w:p>
          <w:p w14:paraId="3B916678" w14:textId="0FA1295A" w:rsidR="001A1DD2" w:rsidRPr="00C85C0C" w:rsidRDefault="001A1DD2" w:rsidP="00393FF7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 w:rsidRPr="00A70BFB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financiranje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, korisnik je tijekom provedbe </w:t>
            </w:r>
            <w:r w:rsidRPr="00A70BFB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obvezan osigurati dokaze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o </w:t>
            </w:r>
            <w:r w:rsidRPr="00A70BFB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pripadnosti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sudionika projekta </w:t>
            </w:r>
            <w:r w:rsidRPr="00A70BFB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ciljn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im skupinama Poziva navedenima</w:t>
            </w:r>
            <w:r w:rsidRPr="00A70BFB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u točki </w:t>
            </w:r>
            <w:r w:rsidRPr="00C85C0C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1.4 </w:t>
            </w:r>
            <w:r w:rsidRPr="00C85C0C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hr-HR" w:eastAsia="en-US"/>
              </w:rPr>
              <w:t>Svrha, cilj i ciljane skupine Poziva na dostavu projektnih prijedloga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Uputa za prijavitelje.</w:t>
            </w:r>
          </w:p>
        </w:tc>
      </w:tr>
      <w:tr w:rsidR="001A1DD2" w:rsidRPr="004D0E1C" w14:paraId="7691D1F9" w14:textId="77777777" w:rsidTr="001A1DD2">
        <w:tc>
          <w:tcPr>
            <w:tcW w:w="562" w:type="dxa"/>
          </w:tcPr>
          <w:p w14:paraId="3E5AC289" w14:textId="0199E883" w:rsidR="001A1DD2" w:rsidRDefault="001A1DD2" w:rsidP="00EF728D">
            <w:pPr>
              <w:rPr>
                <w:rFonts w:cstheme="minorHAnsi"/>
              </w:rPr>
            </w:pPr>
            <w:r w:rsidRPr="004F4916">
              <w:rPr>
                <w:rFonts w:cstheme="minorHAnsi"/>
              </w:rPr>
              <w:t>7</w:t>
            </w:r>
          </w:p>
        </w:tc>
        <w:tc>
          <w:tcPr>
            <w:tcW w:w="4253" w:type="dxa"/>
          </w:tcPr>
          <w:p w14:paraId="03EA882A" w14:textId="2A795342" w:rsidR="001A1DD2" w:rsidRPr="004F64B9" w:rsidRDefault="001A1DD2" w:rsidP="00082D44">
            <w:r>
              <w:t>U slučaju kada je prijavitelj u okviru skupine aktivnosti A umjetnička organizacija, koji je minimalan broj partnera da bi to partnerstvo bilo prihvatljivo?</w:t>
            </w:r>
          </w:p>
        </w:tc>
        <w:tc>
          <w:tcPr>
            <w:tcW w:w="4678" w:type="dxa"/>
          </w:tcPr>
          <w:p w14:paraId="577675CB" w14:textId="31A8C6B0" w:rsidR="001A1DD2" w:rsidRDefault="001A1DD2" w:rsidP="003F6681">
            <w:r>
              <w:t>U tom slučaju projektno partnerstvo, uz prijavitelja, mora uključivati najmanje jednu jedinicu lokalne ili područne (regionalne) samouprave te još dvije organizacije civilnog društva (udruge ili umjetničke organizacije) ili jedan savez udruga.</w:t>
            </w:r>
          </w:p>
        </w:tc>
      </w:tr>
      <w:tr w:rsidR="001A1DD2" w:rsidRPr="004D0E1C" w14:paraId="20BF2A57" w14:textId="77777777" w:rsidTr="001A1DD2">
        <w:tc>
          <w:tcPr>
            <w:tcW w:w="562" w:type="dxa"/>
          </w:tcPr>
          <w:p w14:paraId="53312681" w14:textId="4500B070" w:rsidR="001A1DD2" w:rsidRDefault="001A1DD2" w:rsidP="004F64B9">
            <w:pPr>
              <w:rPr>
                <w:rFonts w:cstheme="minorHAnsi"/>
              </w:rPr>
            </w:pPr>
            <w:r w:rsidRPr="0016604B">
              <w:rPr>
                <w:rFonts w:cstheme="minorHAnsi"/>
              </w:rPr>
              <w:t>8</w:t>
            </w:r>
          </w:p>
        </w:tc>
        <w:tc>
          <w:tcPr>
            <w:tcW w:w="4253" w:type="dxa"/>
          </w:tcPr>
          <w:p w14:paraId="0E0A7D08" w14:textId="1A5E6851" w:rsidR="001A1DD2" w:rsidRPr="004F64B9" w:rsidRDefault="001A1DD2" w:rsidP="000C01F1">
            <w:r>
              <w:t>Može li voditelj projekta biti osoba koja nije zaposlenik prijavitelja ili partnera na projektnom prijedlogu?</w:t>
            </w:r>
          </w:p>
        </w:tc>
        <w:tc>
          <w:tcPr>
            <w:tcW w:w="4678" w:type="dxa"/>
          </w:tcPr>
          <w:p w14:paraId="36BF1E8A" w14:textId="6382D5BE" w:rsidR="001A1DD2" w:rsidRDefault="001A1DD2" w:rsidP="00966676">
            <w:pPr>
              <w:pStyle w:val="FootnoteTex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 xml:space="preserve">Ne. </w:t>
            </w:r>
            <w:r w:rsidRPr="000C01F1">
              <w:rPr>
                <w:sz w:val="22"/>
                <w:lang w:val="hr-HR"/>
              </w:rPr>
              <w:t>Voditelj projek</w:t>
            </w:r>
            <w:r>
              <w:rPr>
                <w:sz w:val="22"/>
                <w:lang w:val="hr-HR"/>
              </w:rPr>
              <w:t>ta mora biti zaposlen</w:t>
            </w:r>
            <w:r w:rsidRPr="000C01F1">
              <w:rPr>
                <w:sz w:val="22"/>
                <w:lang w:val="hr-HR"/>
              </w:rPr>
              <w:t xml:space="preserve"> putem ugovora o radu </w:t>
            </w:r>
            <w:r>
              <w:rPr>
                <w:sz w:val="22"/>
                <w:lang w:val="hr-HR"/>
              </w:rPr>
              <w:t>kod</w:t>
            </w:r>
            <w:r w:rsidRPr="000C01F1">
              <w:rPr>
                <w:sz w:val="22"/>
                <w:lang w:val="hr-HR"/>
              </w:rPr>
              <w:t xml:space="preserve"> prijavitelj</w:t>
            </w:r>
            <w:r>
              <w:rPr>
                <w:sz w:val="22"/>
                <w:lang w:val="hr-HR"/>
              </w:rPr>
              <w:t>a</w:t>
            </w:r>
            <w:r w:rsidRPr="000C01F1">
              <w:rPr>
                <w:sz w:val="22"/>
                <w:lang w:val="hr-HR"/>
              </w:rPr>
              <w:t xml:space="preserve"> ili partner</w:t>
            </w:r>
            <w:r>
              <w:rPr>
                <w:sz w:val="22"/>
                <w:lang w:val="hr-HR"/>
              </w:rPr>
              <w:t>a.</w:t>
            </w:r>
          </w:p>
          <w:p w14:paraId="0348F3D7" w14:textId="297F5660" w:rsidR="001A1DD2" w:rsidRPr="00013FAC" w:rsidRDefault="001A1DD2" w:rsidP="00B95926">
            <w:pPr>
              <w:pStyle w:val="FootnoteTex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Napominjemo da navedeno ne znači da osoba mora biti zaposlena u trenutku predaje projektne prijave, već može biti zaposlena nakon potpisivanja ugovora o dodjeli bespovratnih sredstava.</w:t>
            </w:r>
          </w:p>
        </w:tc>
      </w:tr>
      <w:tr w:rsidR="001A1DD2" w:rsidRPr="004D0E1C" w14:paraId="2DF68E5D" w14:textId="77777777" w:rsidTr="001A1DD2">
        <w:tc>
          <w:tcPr>
            <w:tcW w:w="562" w:type="dxa"/>
          </w:tcPr>
          <w:p w14:paraId="60C81E07" w14:textId="5D0367AD" w:rsidR="001A1DD2" w:rsidRDefault="001A1DD2" w:rsidP="004F64B9">
            <w:pPr>
              <w:rPr>
                <w:rFonts w:cstheme="minorHAnsi"/>
              </w:rPr>
            </w:pPr>
            <w:r w:rsidRPr="004F4916">
              <w:rPr>
                <w:rFonts w:cstheme="minorHAnsi"/>
              </w:rPr>
              <w:lastRenderedPageBreak/>
              <w:t>9</w:t>
            </w:r>
          </w:p>
        </w:tc>
        <w:tc>
          <w:tcPr>
            <w:tcW w:w="4253" w:type="dxa"/>
          </w:tcPr>
          <w:p w14:paraId="393F27FB" w14:textId="32D4A08D" w:rsidR="001A1DD2" w:rsidRPr="004F64B9" w:rsidRDefault="001A1DD2" w:rsidP="003F6681">
            <w:r>
              <w:t>Je li ograničen iznos troškova koji može biti namijenjen aktivnostima elementa „Upravljanje projektom i administracija“?</w:t>
            </w:r>
          </w:p>
        </w:tc>
        <w:tc>
          <w:tcPr>
            <w:tcW w:w="4678" w:type="dxa"/>
          </w:tcPr>
          <w:p w14:paraId="5E6A456F" w14:textId="32E2A431" w:rsidR="001A1DD2" w:rsidRPr="00CE0FB4" w:rsidRDefault="001A1DD2" w:rsidP="00B64413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Ne, udio troškova elementa „Upravljanje projektom i administracija“ u ukupnoj vrijednosti projekta nije ograničen. No, troškovi tog elementa moraju biti opravdani, odnosno razmjerni ostalim projektnim aktivnostima.</w:t>
            </w:r>
          </w:p>
        </w:tc>
      </w:tr>
      <w:tr w:rsidR="001A1DD2" w:rsidRPr="004D0E1C" w14:paraId="692A2C88" w14:textId="77777777" w:rsidTr="001A1DD2">
        <w:tc>
          <w:tcPr>
            <w:tcW w:w="562" w:type="dxa"/>
          </w:tcPr>
          <w:p w14:paraId="66C053DC" w14:textId="7F62AD13" w:rsidR="001A1DD2" w:rsidRDefault="001A1DD2" w:rsidP="004F64B9">
            <w:pPr>
              <w:rPr>
                <w:rFonts w:cstheme="minorHAnsi"/>
              </w:rPr>
            </w:pPr>
            <w:r w:rsidRPr="004F4916">
              <w:rPr>
                <w:rFonts w:cstheme="minorHAnsi"/>
              </w:rPr>
              <w:t>10</w:t>
            </w:r>
          </w:p>
        </w:tc>
        <w:tc>
          <w:tcPr>
            <w:tcW w:w="4253" w:type="dxa"/>
          </w:tcPr>
          <w:p w14:paraId="6DB6E9E3" w14:textId="3EB187E7" w:rsidR="001A1DD2" w:rsidRPr="004F64B9" w:rsidRDefault="001A1DD2" w:rsidP="007B3EB1">
            <w:r>
              <w:t>Zavisi li utvrđivanje/ određivanje plaće voditelja projekta o procjeni prijavitelja?</w:t>
            </w:r>
          </w:p>
        </w:tc>
        <w:tc>
          <w:tcPr>
            <w:tcW w:w="4678" w:type="dxa"/>
          </w:tcPr>
          <w:p w14:paraId="23C9078B" w14:textId="7D6000C2" w:rsidR="001A1DD2" w:rsidRDefault="001A1DD2" w:rsidP="006125A9">
            <w:r>
              <w:t>Plaća voditelja projekta, kao i ostalih osoba angažiranih na provedbi projektnih aktivnosti temeljem ugovora o radu, mora biti utvrđena realno, sukladno trajanju provedbe projekta, opsegu angažmana (npr. na puno ili pola radnog vremena) te uredbama/ internim pravilnicima koji određuju iznose plaća pri instituciji prijavitelja/ partnera. Ukoliko prijavitelj ili partner u svojoj organizaciji nema takav interni akt, visina plaće voditelja projekta utvrđuje se prema iznosima  koji su za slične zadaće bili isplaćivani zaposlenicima prijavitelja/ partnera ili zaposlenicima srodnih organizacija.</w:t>
            </w:r>
          </w:p>
          <w:p w14:paraId="40D0B618" w14:textId="404D9500" w:rsidR="001A1DD2" w:rsidRDefault="001A1DD2" w:rsidP="006125A9">
            <w:r>
              <w:t>Poželjno je da se u okviru proračuna projektnog prijedloga (u rubrici „</w:t>
            </w:r>
            <w:r w:rsidRPr="006125A9">
              <w:t>Stavka troška/Obrazloženje</w:t>
            </w:r>
            <w:r>
              <w:t>“) ukratko navede način utvrđivanja iznosa za svaku stavku projektnog proračuna.</w:t>
            </w:r>
          </w:p>
          <w:p w14:paraId="34BA465D" w14:textId="2681ADFC" w:rsidR="001A1DD2" w:rsidRPr="00894352" w:rsidRDefault="001A1DD2" w:rsidP="00E969AF">
            <w:r>
              <w:t>Napominjemo da u okviru faze procjene kvalitete nadležno tijelo (</w:t>
            </w:r>
            <w:r w:rsidRPr="006C6DE3">
              <w:t>Nacionalna zaklada za razvoj civilnoga društva</w:t>
            </w:r>
            <w:r>
              <w:t>)</w:t>
            </w:r>
            <w:r w:rsidRPr="006C6DE3">
              <w:t xml:space="preserve"> u suradnji s prijaviteljem ispravlja predloženi proračun</w:t>
            </w:r>
            <w:r>
              <w:t>, uklanjajući neprihvatljive i/ili umanjujući neopravdano visoke izdatke.</w:t>
            </w:r>
          </w:p>
        </w:tc>
      </w:tr>
      <w:tr w:rsidR="001A1DD2" w:rsidRPr="004D0E1C" w14:paraId="7C456002" w14:textId="77777777" w:rsidTr="001A1DD2">
        <w:tc>
          <w:tcPr>
            <w:tcW w:w="562" w:type="dxa"/>
          </w:tcPr>
          <w:p w14:paraId="11FB59F1" w14:textId="0D35A9C8" w:rsidR="001A1DD2" w:rsidRDefault="001A1DD2" w:rsidP="004F64B9">
            <w:pPr>
              <w:rPr>
                <w:rFonts w:cstheme="minorHAnsi"/>
              </w:rPr>
            </w:pPr>
            <w:r w:rsidRPr="004F4916">
              <w:rPr>
                <w:rFonts w:cstheme="minorHAnsi"/>
              </w:rPr>
              <w:t>11</w:t>
            </w:r>
          </w:p>
        </w:tc>
        <w:tc>
          <w:tcPr>
            <w:tcW w:w="4253" w:type="dxa"/>
          </w:tcPr>
          <w:p w14:paraId="673095B6" w14:textId="6B848965" w:rsidR="001A1DD2" w:rsidRPr="004F64B9" w:rsidRDefault="001A1DD2" w:rsidP="007B3EB1">
            <w:r>
              <w:t>Mogu li udruge koje su registrirane prije manje od 12 mjeseci biti partneri na projektnom prijedlogu?</w:t>
            </w:r>
          </w:p>
        </w:tc>
        <w:tc>
          <w:tcPr>
            <w:tcW w:w="4678" w:type="dxa"/>
          </w:tcPr>
          <w:p w14:paraId="4DEC45FA" w14:textId="1C353C0A" w:rsidR="001A1DD2" w:rsidRPr="001D364E" w:rsidRDefault="001A1DD2" w:rsidP="00696E5E">
            <w:pPr>
              <w:pStyle w:val="FootnoteTex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 xml:space="preserve">Ne.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Prema točki </w:t>
            </w:r>
            <w:r w:rsidRPr="006A1E9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2.2 </w:t>
            </w:r>
            <w:r w:rsidRPr="006A1E9A"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  <w:t>Uvjeti prihvatljivosti prijavitelja/partnera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Uputa za prijavitelje, na prijavitelja i sve partnere, izuzev jedinica lokalne i područne (regionalne samouprave), primijenjuje se uvjet prihvatljivosti da n</w:t>
            </w:r>
            <w:r w:rsidRPr="006A1E9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a dan objave Poziva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mora biti </w:t>
            </w:r>
            <w:r w:rsidRPr="006A1E9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registriran za obavljanje djelatnosti u Republici Hrvatskoj najmanje 12 mjeseci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.</w:t>
            </w:r>
          </w:p>
        </w:tc>
      </w:tr>
      <w:tr w:rsidR="001A1DD2" w:rsidRPr="007060DE" w14:paraId="30B82EB5" w14:textId="77777777" w:rsidTr="001A1DD2">
        <w:tc>
          <w:tcPr>
            <w:tcW w:w="562" w:type="dxa"/>
          </w:tcPr>
          <w:p w14:paraId="0C8124EA" w14:textId="77777777" w:rsidR="001A1DD2" w:rsidRPr="007060DE" w:rsidRDefault="001A1DD2" w:rsidP="004F64B9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12</w:t>
            </w:r>
          </w:p>
        </w:tc>
        <w:tc>
          <w:tcPr>
            <w:tcW w:w="4253" w:type="dxa"/>
          </w:tcPr>
          <w:p w14:paraId="2478E685" w14:textId="3C6E16B8" w:rsidR="001A1DD2" w:rsidRPr="004F64B9" w:rsidRDefault="001A1DD2" w:rsidP="00001866">
            <w:r>
              <w:t xml:space="preserve">Vezano uz dokaze o pripadnosti sudionika projektnih aktivnosti ciljanim skupinama Poziva (navedenima u točki </w:t>
            </w:r>
            <w:r w:rsidRPr="005E1AB7">
              <w:t xml:space="preserve">1.4 </w:t>
            </w:r>
            <w:r w:rsidRPr="005E1AB7">
              <w:rPr>
                <w:i/>
              </w:rPr>
              <w:t>Svrha, cilj i ciljane skupine Poziva na dostavu projektnih prijedloga</w:t>
            </w:r>
            <w:r>
              <w:t xml:space="preserve"> Uputa za prijavitelje) – hoćemo li dobiti obrazac Izjave</w:t>
            </w:r>
            <w:r w:rsidRPr="005E1AB7">
              <w:t xml:space="preserve"> ovlaštene osobe iz koje je vidljivo da je osoba član udruge</w:t>
            </w:r>
            <w:r>
              <w:t>?</w:t>
            </w:r>
          </w:p>
        </w:tc>
        <w:tc>
          <w:tcPr>
            <w:tcW w:w="4678" w:type="dxa"/>
          </w:tcPr>
          <w:p w14:paraId="4F7AAFD4" w14:textId="1FB810EE" w:rsidR="001A1DD2" w:rsidRPr="00DB7554" w:rsidRDefault="001A1DD2" w:rsidP="00654599">
            <w:pPr>
              <w:pStyle w:val="FootnoteTex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Ne postoji obrazac navedene izjave. Nadležno tijelo (Nacionalna zaklada za razvoj civilnoga društva) će, nakon potpisivanja ugovora o dodjeli bespovratnih sredstava, organizirati provedbene radionice za uspješne prijavitelje na kojima će, između ostalog, biti riječ i o načinu dostave dokaza</w:t>
            </w:r>
            <w:r w:rsidRPr="005E1AB7">
              <w:rPr>
                <w:sz w:val="22"/>
                <w:lang w:val="hr-HR"/>
              </w:rPr>
              <w:t xml:space="preserve"> o pripadnosti sudionika projektnih aktivnosti ciljanim skupinama Poziva</w:t>
            </w:r>
            <w:r>
              <w:rPr>
                <w:sz w:val="22"/>
                <w:lang w:val="hr-HR"/>
              </w:rPr>
              <w:t>.</w:t>
            </w:r>
          </w:p>
        </w:tc>
      </w:tr>
      <w:tr w:rsidR="001A1DD2" w:rsidRPr="007060DE" w14:paraId="228ADED2" w14:textId="77777777" w:rsidTr="001A1DD2">
        <w:tc>
          <w:tcPr>
            <w:tcW w:w="562" w:type="dxa"/>
          </w:tcPr>
          <w:p w14:paraId="24E4B5AA" w14:textId="28ED4CA7" w:rsidR="001A1DD2" w:rsidRPr="007060DE" w:rsidRDefault="001A1DD2" w:rsidP="004F64B9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13</w:t>
            </w:r>
          </w:p>
        </w:tc>
        <w:tc>
          <w:tcPr>
            <w:tcW w:w="4253" w:type="dxa"/>
          </w:tcPr>
          <w:p w14:paraId="1D40CA25" w14:textId="769252AC" w:rsidR="001A1DD2" w:rsidRPr="004F64B9" w:rsidRDefault="001A1DD2" w:rsidP="0077523E">
            <w:r>
              <w:t>U slučaju kada jedan sudionik sudjeluje u 3 različite aktivnosti, je li njegov doprinos pokazatelju 1 ili 3?</w:t>
            </w:r>
          </w:p>
        </w:tc>
        <w:tc>
          <w:tcPr>
            <w:tcW w:w="4678" w:type="dxa"/>
          </w:tcPr>
          <w:p w14:paraId="0BB96EB2" w14:textId="2FC69BB7" w:rsidR="001A1DD2" w:rsidRDefault="001A1DD2" w:rsidP="00655204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7E0C63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Svaki sudionik se prilikom izvještavanja evidentira samo jednom i to pri prvom ulasku u projektnu aktivnost, neovisno o broju aktivnosti u kojima je sudjelovao u okviru jednog projekta/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</w:t>
            </w:r>
            <w:r w:rsidRPr="007E0C63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operacije.</w:t>
            </w:r>
          </w:p>
          <w:p w14:paraId="6BB6BEC3" w14:textId="7A200FE2" w:rsidR="001A1DD2" w:rsidRDefault="001A1DD2" w:rsidP="007E0C63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No, u okviru ovog Poziva moguće je da jedan sudionik doprinosi više pokazatelja. Primjerice, ako član organizacije civilnog društva sudjeluje u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lastRenderedPageBreak/>
              <w:t>aktivnostima jačanja kapaciteta, on doprinosi, i pokazatelju koji se odnosi na organizacije, i pokazatelju koji se odnosi na članove i zaposlenike tih organizacija.</w:t>
            </w:r>
          </w:p>
          <w:p w14:paraId="6A67934D" w14:textId="3B0E3A3A" w:rsidR="001A1DD2" w:rsidRPr="007060DE" w:rsidRDefault="001A1DD2" w:rsidP="007E0C63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Napominjemo da se i organizacije sudionice projektnih akitvnosti evidentiraju samo jednom.</w:t>
            </w:r>
          </w:p>
        </w:tc>
      </w:tr>
      <w:tr w:rsidR="001A1DD2" w:rsidRPr="007060DE" w14:paraId="4CDE3FCC" w14:textId="77777777" w:rsidTr="001A1DD2">
        <w:tc>
          <w:tcPr>
            <w:tcW w:w="562" w:type="dxa"/>
          </w:tcPr>
          <w:p w14:paraId="4492DCB4" w14:textId="7964B72B" w:rsidR="001A1DD2" w:rsidRPr="007060DE" w:rsidRDefault="001A1DD2" w:rsidP="004F64B9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lastRenderedPageBreak/>
              <w:t>14</w:t>
            </w:r>
          </w:p>
        </w:tc>
        <w:tc>
          <w:tcPr>
            <w:tcW w:w="4253" w:type="dxa"/>
          </w:tcPr>
          <w:p w14:paraId="56FE3208" w14:textId="70B398DF" w:rsidR="001A1DD2" w:rsidRPr="004F64B9" w:rsidRDefault="001A1DD2" w:rsidP="007F702B">
            <w:r>
              <w:t xml:space="preserve">U okviru projektnih aktivnosti želimo urediti centar za djecu, koji bi bio inkluzivan i koji bi trebao imati koncept prilagođen potrebama budućih korisnika usluga centra. To ne uključuje građevinske radove, već izradu cjelokupnog koncepta opremanja prostora, za što je potreban angažman dizajnera, arhitekta i konceptualnog umjetnika koji bi osmislio taj prostor. Što u tom slučaju? Iz kojih sredstava platiti njihove usluge? </w:t>
            </w:r>
          </w:p>
        </w:tc>
        <w:tc>
          <w:tcPr>
            <w:tcW w:w="4678" w:type="dxa"/>
          </w:tcPr>
          <w:p w14:paraId="1FD86BF4" w14:textId="7590CC27" w:rsidR="001A1DD2" w:rsidRDefault="001A1DD2" w:rsidP="003C1A66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3C1A66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Troškovi izrade </w:t>
            </w:r>
            <w:r w:rsidRPr="00654599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arhitektonske/tehničke dokumentacije za izvođenje adaptacijskih radova</w:t>
            </w:r>
            <w:r w:rsidRPr="00654599" w:rsidDel="00654599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</w:t>
            </w:r>
            <w:r w:rsidRPr="003C1A66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nisu prihvatlj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iv trošak u okviru ovog Poziva.</w:t>
            </w:r>
          </w:p>
          <w:p w14:paraId="34BC2774" w14:textId="6D6DA42C" w:rsidR="00F628AD" w:rsidRDefault="00F628AD" w:rsidP="001554DD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F628AD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Predlažemo da se procjena troškova povezanih s adaptacijom izradi prije predaje projektnog prijedloga kako bi se mogli utvrditi realni troškovi za potrebe sastavljanja proračuna projektnog prijedloga.</w:t>
            </w:r>
          </w:p>
          <w:p w14:paraId="5BB134AA" w14:textId="77777777" w:rsidR="001A5B50" w:rsidRDefault="001A5B50" w:rsidP="001554DD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</w:p>
          <w:p w14:paraId="0E766E81" w14:textId="77777777" w:rsidR="001A5B50" w:rsidRDefault="001A5B50" w:rsidP="001554DD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Također, troškovi nabave opreme su prihvatljivi ukoliko su nužni i opravdani, odnosno</w:t>
            </w:r>
            <w:r w:rsidRPr="007F702B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jasno pov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ezani s projektnim aktivnostima</w:t>
            </w:r>
            <w:r w:rsidRPr="007F702B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te</w:t>
            </w:r>
            <w:r w:rsidRPr="007F702B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ukoliko doprinose ostvarenju ciljeva projekta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i Poziva. Troškovi nabave opreme, uz eventualne troškove adaptacije, mogu</w:t>
            </w:r>
            <w:r w:rsidRPr="007F702B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iznositi najviše 30% vrijednosti projekta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.</w:t>
            </w:r>
          </w:p>
          <w:p w14:paraId="1521AA22" w14:textId="77777777" w:rsidR="001A5B50" w:rsidRDefault="001A5B50" w:rsidP="001554DD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</w:p>
          <w:p w14:paraId="70D23F96" w14:textId="2C9B9B92" w:rsidR="001A1DD2" w:rsidRPr="007060DE" w:rsidRDefault="00F628AD" w:rsidP="00987DEF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Napominjemo da su troškovi opremanja prostora prihvatljivi jedino ukoliko </w:t>
            </w:r>
            <w:r w:rsidRPr="00F628AD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se odnose na prostor društveno-kulturnih centara u kojima se provode projektne aktivnosti, odnosno javnu infrastrukturu na koju se odnosi izrada modela sudioničkog upravljanja/u kojoj se implementira model sudioničkog upravljanja.</w:t>
            </w:r>
          </w:p>
        </w:tc>
      </w:tr>
      <w:tr w:rsidR="001A1DD2" w:rsidRPr="007060DE" w14:paraId="09CD5101" w14:textId="77777777" w:rsidTr="001A1DD2">
        <w:tc>
          <w:tcPr>
            <w:tcW w:w="562" w:type="dxa"/>
          </w:tcPr>
          <w:p w14:paraId="05425AF1" w14:textId="4CB23AB8" w:rsidR="001A1DD2" w:rsidRPr="007060DE" w:rsidRDefault="001A1DD2" w:rsidP="004F64B9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15</w:t>
            </w:r>
          </w:p>
        </w:tc>
        <w:tc>
          <w:tcPr>
            <w:tcW w:w="4253" w:type="dxa"/>
          </w:tcPr>
          <w:p w14:paraId="4421BECA" w14:textId="7EB8588F" w:rsidR="001A1DD2" w:rsidRPr="004F64B9" w:rsidRDefault="001A1DD2" w:rsidP="00D402D7">
            <w:r>
              <w:t>Što u slučaju kada za izvođenje dijela projektnih aktivnosti angažiramo umjetnika ili člana umjetničke organizacije koji izdaje račun? U koju kategoriju troškova spada navedeni trošak?</w:t>
            </w:r>
          </w:p>
        </w:tc>
        <w:tc>
          <w:tcPr>
            <w:tcW w:w="4678" w:type="dxa"/>
          </w:tcPr>
          <w:p w14:paraId="670A0F88" w14:textId="22241D70" w:rsidR="001A1DD2" w:rsidRDefault="001A1DD2" w:rsidP="001554DD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Troškovi isplaćeni fizičkoj osobi (primjerice  samostalnom umjetniku) za rad u izravnoj vezi s ostvarenjem jednog ili više ciljeva projekta, odnosno za rad izravno povezan s pojedinačnom aktivnošću projekta, koji iznose manje od 200.000 kn</w:t>
            </w:r>
            <w:r w:rsidRPr="004E019D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bez poreza na dodatnu vrijednost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, ubrajaju se u izravne troškove osoblja. </w:t>
            </w:r>
          </w:p>
          <w:p w14:paraId="6ACF2DF4" w14:textId="77777777" w:rsidR="001A1DD2" w:rsidRDefault="001A1DD2" w:rsidP="001554DD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</w:p>
          <w:p w14:paraId="649972A2" w14:textId="0802B465" w:rsidR="001A1DD2" w:rsidRDefault="001A1DD2" w:rsidP="001554DD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Ukoliko vrijednost ugovora o uslugama s fizičkom osobom iznosi 200.000,00 kn i više (bez PDV-a), taj trošak pripada kategoriji „ostali izravni troškovi“, kao i svaki ugovor o uslugama sklopnjen s pravnom osobom.</w:t>
            </w:r>
          </w:p>
          <w:p w14:paraId="5E8A2707" w14:textId="77777777" w:rsidR="001A1DD2" w:rsidRDefault="001A1DD2" w:rsidP="00C95CD0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Napominjemo da ukoliko račun koji je</w:t>
            </w:r>
          </w:p>
          <w:p w14:paraId="5DA1231F" w14:textId="06413F5E" w:rsidR="001A1DD2" w:rsidRPr="007060DE" w:rsidRDefault="001A1DD2" w:rsidP="00C95CD0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izdala fizička osoba sadrži i troškove koji se ne ubrajaju u izravne troškove osoblja (primjerice putne troškove, troškove materijala), takvi troškovi moraju biti jasno navedeni kako bi se mogao utvrditi točan iznos izravnih troškova osoblja u okviru proračuna projektnog prijedloga odnosno zahtjeva za nadoknadom sredstava.</w:t>
            </w:r>
          </w:p>
        </w:tc>
      </w:tr>
      <w:tr w:rsidR="001A1DD2" w:rsidRPr="007060DE" w14:paraId="4A6DE83C" w14:textId="77777777" w:rsidTr="001A1DD2">
        <w:tc>
          <w:tcPr>
            <w:tcW w:w="562" w:type="dxa"/>
          </w:tcPr>
          <w:p w14:paraId="24A946B1" w14:textId="77777777" w:rsidR="001A1DD2" w:rsidRPr="007060DE" w:rsidRDefault="001A1DD2" w:rsidP="004F64B9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lastRenderedPageBreak/>
              <w:t>16</w:t>
            </w:r>
          </w:p>
        </w:tc>
        <w:tc>
          <w:tcPr>
            <w:tcW w:w="4253" w:type="dxa"/>
          </w:tcPr>
          <w:p w14:paraId="3D6FF565" w14:textId="18EB9683" w:rsidR="001A1DD2" w:rsidRPr="004F64B9" w:rsidRDefault="001A1DD2" w:rsidP="00600046">
            <w:r>
              <w:t>Je li mjesni odbor prihvatljiv partner u svojstvu jedinice lokalne samouprave? Radi se o planiranim aktivnostima na otoku koji ima svega 50 stanovnika i stoga je za područje provedbe aktivnosti nadležan mjesni odbor.</w:t>
            </w:r>
          </w:p>
        </w:tc>
        <w:tc>
          <w:tcPr>
            <w:tcW w:w="4678" w:type="dxa"/>
          </w:tcPr>
          <w:p w14:paraId="0B25F67E" w14:textId="2A4289A0" w:rsidR="001A1DD2" w:rsidRPr="006A1E9A" w:rsidRDefault="001A1DD2" w:rsidP="00116596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Prema</w:t>
            </w:r>
            <w:r w:rsidRPr="004E019D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točki 2.1 </w:t>
            </w:r>
            <w:r w:rsidRPr="004E019D"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  <w:t>Prijavitelj i partneri</w:t>
            </w:r>
            <w:r w:rsidRPr="004E019D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Uputa za prijavitelje, jedinice mjesne samouprave nisu prihvatljivi partneri u okviru ovog Poziva, već isključivo jedinice lokalne i područne (regionalne) samouprave. Sukladno točki 2.2 </w:t>
            </w:r>
            <w:r w:rsidRPr="00B95926"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  <w:t>Uvjeti prihvatljivosti prijavitelja/ partnera</w:t>
            </w:r>
            <w:r w:rsidRPr="004E019D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Uputa za prijavitelje, izvor provjere prihvatljivosti za navedene pravne osobe je Popis županija, gradova i općina koji se vodi pri Ministarstvu uprave.</w:t>
            </w:r>
          </w:p>
        </w:tc>
      </w:tr>
      <w:tr w:rsidR="001A1DD2" w:rsidRPr="007060DE" w14:paraId="67235135" w14:textId="77777777" w:rsidTr="001A1DD2">
        <w:tc>
          <w:tcPr>
            <w:tcW w:w="562" w:type="dxa"/>
          </w:tcPr>
          <w:p w14:paraId="757322EE" w14:textId="7A3A48D2" w:rsidR="001A1DD2" w:rsidRPr="007060DE" w:rsidRDefault="001A1DD2" w:rsidP="004F64B9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17</w:t>
            </w:r>
          </w:p>
        </w:tc>
        <w:tc>
          <w:tcPr>
            <w:tcW w:w="4253" w:type="dxa"/>
          </w:tcPr>
          <w:p w14:paraId="5AA0BA72" w14:textId="7DB295DF" w:rsidR="001A1DD2" w:rsidRPr="004F64B9" w:rsidRDefault="001A1DD2" w:rsidP="00071FAF">
            <w:r>
              <w:t>U udruzi prijavitelju i partnerskim udrugama nema zaposlenih osoba, već samo članova. S obzirom na to, možemo li kao voditelja projekta angažirati člana udruge temeljem ugovora o djelu ili moramo zaposliti novu osobu?</w:t>
            </w:r>
          </w:p>
        </w:tc>
        <w:tc>
          <w:tcPr>
            <w:tcW w:w="4678" w:type="dxa"/>
          </w:tcPr>
          <w:p w14:paraId="364744B3" w14:textId="5CE33EE2" w:rsidR="001A1DD2" w:rsidRPr="00124A60" w:rsidRDefault="001A1DD2" w:rsidP="00377690">
            <w:pPr>
              <w:pStyle w:val="FootnoteText"/>
              <w:rPr>
                <w:sz w:val="22"/>
                <w:szCs w:val="22"/>
                <w:lang w:val="hr-HR"/>
              </w:rPr>
            </w:pPr>
            <w:r w:rsidRPr="003731F3">
              <w:rPr>
                <w:sz w:val="22"/>
                <w:szCs w:val="22"/>
                <w:lang w:val="hr-HR"/>
              </w:rPr>
              <w:t>Voditelj projekta</w:t>
            </w:r>
            <w:r>
              <w:rPr>
                <w:sz w:val="22"/>
                <w:szCs w:val="22"/>
                <w:lang w:val="hr-HR"/>
              </w:rPr>
              <w:t>, koji može, ali ne mora biti član udruge,</w:t>
            </w:r>
            <w:r w:rsidRPr="003731F3">
              <w:rPr>
                <w:sz w:val="22"/>
                <w:szCs w:val="22"/>
                <w:lang w:val="hr-HR"/>
              </w:rPr>
              <w:t xml:space="preserve"> mora biti zaposlen isključivo putem ugovora o radu sklopljenog na puno ili dio radnog vremena.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lang w:val="hr-HR"/>
              </w:rPr>
              <w:t>Navedeno ne znači da osoba mora biti zaposlenik prijavitelja/ partnera u trenutku podnošenja projektne prijave, već može biti zaposlena nakon potpisivanja ugovora o dodjeli bespovratnih sredstava.</w:t>
            </w:r>
          </w:p>
        </w:tc>
      </w:tr>
      <w:tr w:rsidR="001A1DD2" w:rsidRPr="007060DE" w14:paraId="0A647F6D" w14:textId="77777777" w:rsidTr="001A1DD2">
        <w:tc>
          <w:tcPr>
            <w:tcW w:w="562" w:type="dxa"/>
          </w:tcPr>
          <w:p w14:paraId="50EF3FBC" w14:textId="5675BFD3" w:rsidR="001A1DD2" w:rsidRPr="007060DE" w:rsidRDefault="001A1DD2" w:rsidP="004F64B9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18</w:t>
            </w:r>
          </w:p>
        </w:tc>
        <w:tc>
          <w:tcPr>
            <w:tcW w:w="4253" w:type="dxa"/>
          </w:tcPr>
          <w:p w14:paraId="7ADC08BF" w14:textId="095EF4C7" w:rsidR="001A1DD2" w:rsidRPr="007060DE" w:rsidRDefault="001A1DD2" w:rsidP="007D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 li u okviru skupine aktivnosti A prihvatljivo projektno partnerstvo u kojem je jedna jedinica lokane samouprave prijavitelj, a druga partner, uz organizacije civilnog društva?</w:t>
            </w:r>
          </w:p>
        </w:tc>
        <w:tc>
          <w:tcPr>
            <w:tcW w:w="4678" w:type="dxa"/>
          </w:tcPr>
          <w:p w14:paraId="746F3DEC" w14:textId="6BA5D0BC" w:rsidR="001A1DD2" w:rsidRDefault="001A1DD2" w:rsidP="00B54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Ukoliko to partnerstvo uključuje još najmanje 3 organizacije civilnog društva (udruge ili umjetničke organizacije) ili jedan savez udruga, te ukoliko najmanje jedna od tih organizacija djeluje u području kulture i umjetnosti, takvi je partnerstvo prihvatljivo.</w:t>
            </w:r>
          </w:p>
          <w:p w14:paraId="3F827237" w14:textId="00376C58" w:rsidR="001A1DD2" w:rsidRPr="002E47D9" w:rsidRDefault="001A1DD2" w:rsidP="001554DD">
            <w:pPr>
              <w:rPr>
                <w:rFonts w:eastAsia="Times New Roman"/>
              </w:rPr>
            </w:pPr>
            <w:r w:rsidRPr="00F21792">
              <w:rPr>
                <w:rFonts w:eastAsia="Times New Roman"/>
              </w:rPr>
              <w:t>Napominjemo da je partnere potrebno pažljivo odabirati s obzirom na svrhu i ciljeve Poziva te na planirane projektne aktivnosti. U</w:t>
            </w:r>
            <w:r>
              <w:rPr>
                <w:rFonts w:eastAsia="Times New Roman"/>
              </w:rPr>
              <w:t>činkovitost partnerstva ocjenjivat će se u</w:t>
            </w:r>
            <w:r w:rsidRPr="00F21792">
              <w:rPr>
                <w:rFonts w:eastAsia="Times New Roman"/>
              </w:rPr>
              <w:t xml:space="preserve"> okviru kriterija dodjele 4.3 </w:t>
            </w:r>
            <w:r>
              <w:rPr>
                <w:rFonts w:eastAsia="Times New Roman"/>
              </w:rPr>
              <w:t>„</w:t>
            </w:r>
            <w:r w:rsidRPr="00F21792">
              <w:rPr>
                <w:rFonts w:eastAsia="Times New Roman"/>
              </w:rPr>
              <w:t>Opseg, uloge, odgovorno</w:t>
            </w:r>
            <w:r>
              <w:rPr>
                <w:rFonts w:eastAsia="Times New Roman"/>
              </w:rPr>
              <w:t xml:space="preserve">sti i učinkovitost partnerstva“ </w:t>
            </w:r>
            <w:r w:rsidRPr="00F21792">
              <w:rPr>
                <w:rFonts w:eastAsia="Times New Roman"/>
              </w:rPr>
              <w:t xml:space="preserve">navedenom u točki 6.2 </w:t>
            </w:r>
            <w:r w:rsidRPr="00B95926">
              <w:rPr>
                <w:rFonts w:eastAsia="Times New Roman"/>
                <w:i/>
              </w:rPr>
              <w:t>Procjena kvalitete</w:t>
            </w:r>
            <w:r w:rsidRPr="00F21792">
              <w:rPr>
                <w:rFonts w:eastAsia="Times New Roman"/>
              </w:rPr>
              <w:t xml:space="preserve"> Uputa za prijavitelje.</w:t>
            </w:r>
          </w:p>
        </w:tc>
      </w:tr>
      <w:tr w:rsidR="001A1DD2" w:rsidRPr="007060DE" w14:paraId="40A330AF" w14:textId="77777777" w:rsidTr="001A1DD2">
        <w:tc>
          <w:tcPr>
            <w:tcW w:w="562" w:type="dxa"/>
          </w:tcPr>
          <w:p w14:paraId="4C792B19" w14:textId="6AA76C56" w:rsidR="001A1DD2" w:rsidRPr="007060DE" w:rsidRDefault="001A1DD2" w:rsidP="00D27AE2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19</w:t>
            </w:r>
          </w:p>
        </w:tc>
        <w:tc>
          <w:tcPr>
            <w:tcW w:w="4253" w:type="dxa"/>
          </w:tcPr>
          <w:p w14:paraId="0BC2DD57" w14:textId="4AB0DAB0" w:rsidR="001A1DD2" w:rsidRPr="00035A86" w:rsidRDefault="001A1DD2" w:rsidP="00D27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Kriterij dodjele pod rednim brojem 6. odnosi se na d</w:t>
            </w:r>
            <w:r w:rsidRPr="00F21792">
              <w:rPr>
                <w:rFonts w:eastAsia="Times New Roman"/>
              </w:rPr>
              <w:t>oprinos projekta postizanju horizontalnih ciljeva OP-a</w:t>
            </w:r>
            <w:r>
              <w:rPr>
                <w:rFonts w:eastAsia="Times New Roman"/>
              </w:rPr>
              <w:t>. Na što se točno odnose horizontalni ciljevi? Jesu li to specifični ciljevi Poziva?</w:t>
            </w:r>
          </w:p>
        </w:tc>
        <w:tc>
          <w:tcPr>
            <w:tcW w:w="4678" w:type="dxa"/>
          </w:tcPr>
          <w:p w14:paraId="4323B858" w14:textId="695BD92B" w:rsidR="001A1DD2" w:rsidRDefault="001A1DD2" w:rsidP="00B15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Ne. Taj se kriterij odnosi na horizontalna načela (ciljeve) navedena u točki 11. Operativnog programa „Učinkoviti ljudski potencijali“ 2014.-2020.</w:t>
            </w:r>
          </w:p>
          <w:p w14:paraId="4DB1FF7D" w14:textId="2E8D20C0" w:rsidR="001A1DD2" w:rsidRPr="00226004" w:rsidRDefault="001A1DD2" w:rsidP="005F7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 okviru ovog Poziva ocjenjuje se doprinos dvama horizontalnim ciljevima OP-a: „</w:t>
            </w:r>
            <w:r w:rsidRPr="00B15D66">
              <w:rPr>
                <w:rFonts w:eastAsia="Times New Roman"/>
              </w:rPr>
              <w:t>Jednake mogućnosti i nediskriminacija</w:t>
            </w:r>
            <w:r>
              <w:rPr>
                <w:rFonts w:eastAsia="Times New Roman"/>
              </w:rPr>
              <w:t>“ (točka 11.2) te „</w:t>
            </w:r>
            <w:r w:rsidRPr="00B15D66">
              <w:rPr>
                <w:rFonts w:eastAsia="Times New Roman"/>
              </w:rPr>
              <w:t>Ravnopravnost između muškaraca i žena</w:t>
            </w:r>
            <w:r>
              <w:rPr>
                <w:rFonts w:eastAsia="Times New Roman"/>
              </w:rPr>
              <w:t>“ (točka 11.3). Doprinos navedenim ciljevima se obrazlaže u rubrici „</w:t>
            </w:r>
            <w:r w:rsidRPr="005F7218">
              <w:rPr>
                <w:rFonts w:eastAsia="Times New Roman"/>
              </w:rPr>
              <w:t>Doprinosi li projekt jednakim mogućnostima?</w:t>
            </w:r>
            <w:r>
              <w:rPr>
                <w:rFonts w:eastAsia="Times New Roman"/>
              </w:rPr>
              <w:t>“ dijela „Horizontalne teme“ prijavnog obrasca A.</w:t>
            </w:r>
          </w:p>
        </w:tc>
      </w:tr>
      <w:tr w:rsidR="001A1DD2" w:rsidRPr="007060DE" w14:paraId="4387B6E5" w14:textId="77777777" w:rsidTr="001A1DD2">
        <w:tc>
          <w:tcPr>
            <w:tcW w:w="562" w:type="dxa"/>
          </w:tcPr>
          <w:p w14:paraId="4F8F6DFC" w14:textId="4C63CE8D" w:rsidR="001A1DD2" w:rsidRPr="007060DE" w:rsidRDefault="001A1DD2" w:rsidP="00F21792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20</w:t>
            </w:r>
          </w:p>
        </w:tc>
        <w:tc>
          <w:tcPr>
            <w:tcW w:w="4253" w:type="dxa"/>
          </w:tcPr>
          <w:p w14:paraId="1BC202AF" w14:textId="2A6DE524" w:rsidR="001A1DD2" w:rsidRPr="003E6954" w:rsidRDefault="001A1DD2" w:rsidP="00F21792">
            <w:r>
              <w:rPr>
                <w:rFonts w:eastAsia="Times New Roman"/>
              </w:rPr>
              <w:t>Kada možemo očekivati rezultate, odnosno za kada da realno planiramo početak provedbe projekta?</w:t>
            </w:r>
          </w:p>
        </w:tc>
        <w:tc>
          <w:tcPr>
            <w:tcW w:w="4678" w:type="dxa"/>
          </w:tcPr>
          <w:p w14:paraId="36015789" w14:textId="77777777" w:rsidR="001A1DD2" w:rsidRDefault="001A1DD2" w:rsidP="00F21792">
            <w:pPr>
              <w:pStyle w:val="FootnoteText"/>
              <w:rPr>
                <w:sz w:val="22"/>
                <w:szCs w:val="22"/>
                <w:lang w:val="hr-HR"/>
              </w:rPr>
            </w:pPr>
            <w:r w:rsidRPr="00B15D66">
              <w:rPr>
                <w:sz w:val="22"/>
                <w:szCs w:val="22"/>
                <w:lang w:val="hr-HR"/>
              </w:rPr>
              <w:t>Donošenje Odluke o financiranju bit će u najkraćem mogućem roku, sukladno mogućnostima te postupcima propisanima za dodjelu bespovratnih sredstava.</w:t>
            </w:r>
          </w:p>
          <w:p w14:paraId="7CEDA2B3" w14:textId="5D95F745" w:rsidR="009D32B1" w:rsidRPr="00F00E72" w:rsidRDefault="009D32B1" w:rsidP="00F21792">
            <w:pPr>
              <w:pStyle w:val="FootnoteText"/>
              <w:rPr>
                <w:sz w:val="22"/>
                <w:szCs w:val="22"/>
                <w:lang w:val="hr-HR"/>
              </w:rPr>
            </w:pPr>
            <w:r w:rsidRPr="009D32B1">
              <w:rPr>
                <w:sz w:val="22"/>
                <w:szCs w:val="22"/>
                <w:lang w:val="hr-HR"/>
              </w:rPr>
              <w:t xml:space="preserve">Ujedno napominjemo da će prijavitelji, čiji projekti budu predloženi za financiranje, prilikom provjere prihvatljivosti izdataka biti u mogućnosti promijeniti ili prilagoditi početak određenih </w:t>
            </w:r>
            <w:r w:rsidRPr="009D32B1">
              <w:rPr>
                <w:sz w:val="22"/>
                <w:szCs w:val="22"/>
                <w:lang w:val="hr-HR"/>
              </w:rPr>
              <w:lastRenderedPageBreak/>
              <w:t>aktivnosti sukladno novonastalim vremenskim okvirima.</w:t>
            </w:r>
          </w:p>
        </w:tc>
      </w:tr>
      <w:tr w:rsidR="001A1DD2" w:rsidRPr="007060DE" w14:paraId="783520D2" w14:textId="77777777" w:rsidTr="001A1DD2">
        <w:tc>
          <w:tcPr>
            <w:tcW w:w="562" w:type="dxa"/>
          </w:tcPr>
          <w:p w14:paraId="4880516C" w14:textId="77777777" w:rsidR="001A1DD2" w:rsidRPr="007060DE" w:rsidRDefault="001A1DD2" w:rsidP="00F21792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lastRenderedPageBreak/>
              <w:t>21</w:t>
            </w:r>
          </w:p>
        </w:tc>
        <w:tc>
          <w:tcPr>
            <w:tcW w:w="4253" w:type="dxa"/>
          </w:tcPr>
          <w:p w14:paraId="7CB7FF8A" w14:textId="6956651B" w:rsidR="001A1DD2" w:rsidRPr="007060DE" w:rsidRDefault="001A1DD2" w:rsidP="00F2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 li prihvatljivo partnerstvo udruga s jedinicom područne samouprave u kojoj te udruge nisu prijavljene?</w:t>
            </w:r>
          </w:p>
        </w:tc>
        <w:tc>
          <w:tcPr>
            <w:tcW w:w="4678" w:type="dxa"/>
          </w:tcPr>
          <w:p w14:paraId="2F8AF646" w14:textId="1FC3A865" w:rsidR="001A1DD2" w:rsidRDefault="001A1DD2" w:rsidP="002B70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Prijavitelj pri razradi svrhe i opravdanosti projektnog prijedloga te u opisu kapaciteta prijavitelja i partnera mora navesti i obrazložiti razloge odabira partnera (npr. opravdanost odabira organizacije koja ne djeluje na istom geografskom području kao prijavitelj, odnosno na području jedinice lokalne samouprave u kojoj se projekt provodi), kako su prijavitelj i partneri uključeni u projektne aktivnosti te kako takvo partnerstvo doprinosi ostvarenju ciljeva projekta i Poziva. Navedeni doprinos, kao i učinkovitost partnerstva, će se ocjenjivati u okviru kriterija </w:t>
            </w:r>
            <w:r w:rsidRPr="00642D31">
              <w:rPr>
                <w:rFonts w:eastAsia="Times New Roman"/>
              </w:rPr>
              <w:t xml:space="preserve">4.3 </w:t>
            </w:r>
            <w:r>
              <w:rPr>
                <w:rFonts w:eastAsia="Times New Roman"/>
              </w:rPr>
              <w:t>„</w:t>
            </w:r>
            <w:r w:rsidRPr="00642D31">
              <w:rPr>
                <w:rFonts w:eastAsia="Times New Roman"/>
              </w:rPr>
              <w:t>Opseg, uloge, odgovornosti i učinkovitost partnerstva</w:t>
            </w:r>
            <w:r>
              <w:rPr>
                <w:rFonts w:eastAsia="Times New Roman"/>
              </w:rPr>
              <w:t xml:space="preserve">“, navedenog u točki </w:t>
            </w:r>
            <w:r w:rsidRPr="00642D31">
              <w:rPr>
                <w:rFonts w:eastAsia="Times New Roman"/>
              </w:rPr>
              <w:t xml:space="preserve">6.2 </w:t>
            </w:r>
            <w:r w:rsidRPr="00642D31">
              <w:rPr>
                <w:rFonts w:eastAsia="Times New Roman"/>
                <w:i/>
              </w:rPr>
              <w:t>Procjena kvalitete</w:t>
            </w:r>
            <w:r>
              <w:rPr>
                <w:rFonts w:eastAsia="Times New Roman"/>
              </w:rPr>
              <w:t xml:space="preserve"> Uputa za prijavitelje.</w:t>
            </w:r>
          </w:p>
          <w:p w14:paraId="39D33F6E" w14:textId="51F0819D" w:rsidR="001A1DD2" w:rsidRPr="003D6EDD" w:rsidRDefault="001A1DD2" w:rsidP="00D90CF6"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</w:rPr>
              <w:t xml:space="preserve">Također, u kontekstu održivosti rezultata projekta važno je uključivanje </w:t>
            </w:r>
            <w:r w:rsidRPr="00E3203B">
              <w:rPr>
                <w:rFonts w:eastAsia="Times New Roman"/>
              </w:rPr>
              <w:t>lokalnih dionika</w:t>
            </w:r>
            <w:r w:rsidRPr="00D90CF6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</w:rPr>
              <w:t>(organizacije civilnog društva, javni sektor, lokalna zajednica) u projektne aktivnosti odnosno projektno partnerstvo.</w:t>
            </w:r>
          </w:p>
        </w:tc>
      </w:tr>
      <w:tr w:rsidR="001A1DD2" w:rsidRPr="007060DE" w14:paraId="38FEA194" w14:textId="77777777" w:rsidTr="001A1DD2">
        <w:tc>
          <w:tcPr>
            <w:tcW w:w="562" w:type="dxa"/>
          </w:tcPr>
          <w:p w14:paraId="29390B88" w14:textId="253DF948" w:rsidR="001A1DD2" w:rsidRPr="007060DE" w:rsidRDefault="001A1DD2" w:rsidP="00F21792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22</w:t>
            </w:r>
          </w:p>
        </w:tc>
        <w:tc>
          <w:tcPr>
            <w:tcW w:w="4253" w:type="dxa"/>
          </w:tcPr>
          <w:p w14:paraId="7941C6C3" w14:textId="4E5BF9A3" w:rsidR="001A1DD2" w:rsidRPr="000C3A5E" w:rsidRDefault="001A1DD2" w:rsidP="00F217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Naša organizacija civilnog društva je mreža udruga. Svrstavamo li se mi, kao potencijalni prijavitelji, u udruge ili saveze udruga?</w:t>
            </w:r>
          </w:p>
        </w:tc>
        <w:tc>
          <w:tcPr>
            <w:tcW w:w="4678" w:type="dxa"/>
          </w:tcPr>
          <w:p w14:paraId="6B731522" w14:textId="0A47D459" w:rsidR="001A1DD2" w:rsidRPr="00A00045" w:rsidRDefault="001A1DD2" w:rsidP="009304DB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Sukladno </w:t>
            </w:r>
            <w:r w:rsidRPr="009304DB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točki 2.1 </w:t>
            </w:r>
            <w:r w:rsidRPr="009304DB"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  <w:t>Prijavitelj i partneri</w:t>
            </w:r>
            <w:r w:rsidRPr="009304DB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Uputa za prijavitelje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, savez udruga je isključivo ona organizacija civilnog društva koja</w:t>
            </w:r>
            <w:r w:rsidRPr="009304DB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u Registru udruga pod ru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brikom „Oblik udruživanja“ ima</w:t>
            </w:r>
            <w:r w:rsidRPr="009304DB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navedeno „savez udruga“.</w:t>
            </w:r>
          </w:p>
        </w:tc>
      </w:tr>
      <w:tr w:rsidR="001A1DD2" w:rsidRPr="007060DE" w14:paraId="30B29898" w14:textId="77777777" w:rsidTr="001A1DD2">
        <w:tc>
          <w:tcPr>
            <w:tcW w:w="562" w:type="dxa"/>
          </w:tcPr>
          <w:p w14:paraId="1B8977B8" w14:textId="2A0DF302" w:rsidR="001A1DD2" w:rsidRPr="007060DE" w:rsidRDefault="001A1DD2" w:rsidP="00F21792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23</w:t>
            </w:r>
          </w:p>
        </w:tc>
        <w:tc>
          <w:tcPr>
            <w:tcW w:w="4253" w:type="dxa"/>
          </w:tcPr>
          <w:p w14:paraId="27F107C1" w14:textId="279AF6E2" w:rsidR="001A1DD2" w:rsidRPr="0033517A" w:rsidRDefault="001A1DD2" w:rsidP="0002056F">
            <w:r>
              <w:t>Je li prihvatljivo da partnerstvo između mreža udruga s udrugama koje su njezine članice?</w:t>
            </w:r>
          </w:p>
        </w:tc>
        <w:tc>
          <w:tcPr>
            <w:tcW w:w="4678" w:type="dxa"/>
          </w:tcPr>
          <w:p w14:paraId="6ACF61E2" w14:textId="5F664AEA" w:rsidR="001A1DD2" w:rsidRDefault="001A1DD2" w:rsidP="000A7557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 w:rsidRPr="0002056F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S obzirom na to da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se radi o pravnim osobama sa</w:t>
            </w:r>
            <w:r w:rsidRPr="0002056F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zasebnim upisom u Registru udruga,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takvo je partnerstvo prihvatljivo, no prijavitelj je u projektnoj prijavi dužan obrazložiti opravdanost uključivanja partnera u projektni prijedlog s obzirom na predložene aktivnosti, ciljeve projektnog prijedloga i Poziva</w:t>
            </w:r>
            <w:r w:rsidRPr="0002056F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.</w:t>
            </w:r>
          </w:p>
          <w:p w14:paraId="64C33AC6" w14:textId="5A8C9CC0" w:rsidR="001A1DD2" w:rsidRPr="00990559" w:rsidRDefault="001A1DD2" w:rsidP="000A7557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Molimo pogledati točku</w:t>
            </w:r>
            <w:r w:rsidRPr="009304DB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2.1 </w:t>
            </w:r>
            <w:r w:rsidRPr="009304DB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hr-HR" w:eastAsia="en-US"/>
              </w:rPr>
              <w:t>Prijavitelj i partneri</w:t>
            </w:r>
            <w:r w:rsidRPr="009304DB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Uputa za prijavitelje,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gdje su navedeni </w:t>
            </w:r>
            <w:r w:rsidRPr="000A7557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ostal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i</w:t>
            </w:r>
            <w:r w:rsidRPr="000A7557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uvjet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i</w:t>
            </w:r>
            <w:r w:rsidRPr="000A7557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koje mora zadovoljiti prihvatljivo partnerstvo u obje skupine aktivnosti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.</w:t>
            </w:r>
          </w:p>
        </w:tc>
      </w:tr>
      <w:tr w:rsidR="001A1DD2" w:rsidRPr="007060DE" w14:paraId="1E98D9B9" w14:textId="77777777" w:rsidTr="001A1DD2">
        <w:tc>
          <w:tcPr>
            <w:tcW w:w="562" w:type="dxa"/>
          </w:tcPr>
          <w:p w14:paraId="4E94D0D1" w14:textId="17E06875" w:rsidR="001A1DD2" w:rsidRPr="007060DE" w:rsidRDefault="001A1DD2" w:rsidP="00F21792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24</w:t>
            </w:r>
          </w:p>
        </w:tc>
        <w:tc>
          <w:tcPr>
            <w:tcW w:w="4253" w:type="dxa"/>
          </w:tcPr>
          <w:p w14:paraId="6372025A" w14:textId="2DEE6AF6" w:rsidR="001A1DD2" w:rsidRPr="003A50FA" w:rsidRDefault="001A1DD2" w:rsidP="00F21792">
            <w:r>
              <w:t>Mi smo udruga koja se bavi očuvanjem povijesne jezgre grada X i htjeli bismo prijaviti projektni prijedlog u okviru skupine aktivnosti A u partnerstvu s dvije takve udruge iz druga dva različita grada. Je li to prihvatljivo?</w:t>
            </w:r>
          </w:p>
        </w:tc>
        <w:tc>
          <w:tcPr>
            <w:tcW w:w="4678" w:type="dxa"/>
          </w:tcPr>
          <w:p w14:paraId="27D12C2F" w14:textId="7E5FB1BE" w:rsidR="001A1DD2" w:rsidRPr="00255808" w:rsidRDefault="001A1DD2" w:rsidP="00F21792">
            <w:pPr>
              <w:pStyle w:val="FootnoteText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Prema</w:t>
            </w:r>
            <w:r w:rsidRPr="004E019D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točki 2.1 </w:t>
            </w:r>
            <w:r w:rsidRPr="004E019D"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  <w:t>Prijavitelj i partneri</w:t>
            </w:r>
            <w:r w:rsidRPr="004E019D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Uputa za prijavitelje,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navedeno partnerstvo mora uključivati i jedinicu lokalne ili područne (regionalne) samouprave, poželjno one na području koje će se provoditi većina projektnih aktivnosti. Naime, d</w:t>
            </w:r>
            <w:r w:rsidRPr="00FD160F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oprinos partnerstva ostvarivanju ciljeva projektnog prijedloga i Poziva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se ocjenjuje</w:t>
            </w:r>
            <w:r w:rsidRPr="00FD160F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u okviru kriterija 4.3 „Opseg, uloge, odgovornosti i učinkovitost partnerstva“ navedenog u točki 6.2 </w:t>
            </w:r>
            <w:r w:rsidRPr="00FD160F"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  <w:t>Procjena kvalitete</w:t>
            </w:r>
            <w:r w:rsidRPr="00FD160F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Uputa za prijavitelje.</w:t>
            </w:r>
          </w:p>
        </w:tc>
      </w:tr>
      <w:tr w:rsidR="001A1DD2" w:rsidRPr="007060DE" w14:paraId="11C5CB34" w14:textId="77777777" w:rsidTr="001A1DD2">
        <w:tc>
          <w:tcPr>
            <w:tcW w:w="562" w:type="dxa"/>
          </w:tcPr>
          <w:p w14:paraId="68E54F18" w14:textId="03DD2406" w:rsidR="001A1DD2" w:rsidRPr="007060DE" w:rsidRDefault="001A1DD2" w:rsidP="00F21792">
            <w:pPr>
              <w:rPr>
                <w:rFonts w:eastAsia="Times New Roman"/>
              </w:rPr>
            </w:pPr>
            <w:r w:rsidRPr="007060DE">
              <w:rPr>
                <w:rFonts w:eastAsia="Times New Roman"/>
              </w:rPr>
              <w:t>25</w:t>
            </w:r>
          </w:p>
        </w:tc>
        <w:tc>
          <w:tcPr>
            <w:tcW w:w="4253" w:type="dxa"/>
          </w:tcPr>
          <w:p w14:paraId="18C2EEB2" w14:textId="192E5E9B" w:rsidR="001A1DD2" w:rsidRPr="007060DE" w:rsidRDefault="001A1DD2" w:rsidP="00524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Ukoliko je vlasnik prostora pučko otvoreno učilište koje je partner na projektu, a osnivač </w:t>
            </w:r>
            <w:r>
              <w:rPr>
                <w:rFonts w:eastAsia="Times New Roman"/>
              </w:rPr>
              <w:lastRenderedPageBreak/>
              <w:t>učilišta je jedinica lokalne samouprave koja je također partner na projektu, je li prihvatljiva adaptacija navedenog prostora?</w:t>
            </w:r>
          </w:p>
        </w:tc>
        <w:tc>
          <w:tcPr>
            <w:tcW w:w="4678" w:type="dxa"/>
          </w:tcPr>
          <w:p w14:paraId="414867E0" w14:textId="01C65A5E" w:rsidR="001A1DD2" w:rsidRPr="007060DE" w:rsidRDefault="001A1DD2" w:rsidP="007F7221">
            <w:pPr>
              <w:rPr>
                <w:rFonts w:eastAsia="Times New Roman"/>
              </w:rPr>
            </w:pPr>
            <w:r w:rsidRPr="005243EA">
              <w:rPr>
                <w:rFonts w:eastAsia="Times New Roman"/>
              </w:rPr>
              <w:lastRenderedPageBreak/>
              <w:t xml:space="preserve">Ne. Troškovi adaptacije prihvatljivi su jedino pod uvjetom da se odnose na prostor koji je u </w:t>
            </w:r>
            <w:r w:rsidRPr="005243EA">
              <w:rPr>
                <w:rFonts w:eastAsia="Times New Roman"/>
              </w:rPr>
              <w:lastRenderedPageBreak/>
              <w:t>vlasništvu jedinice lokalne ili područne (regionalne) samouprave koja je prijavitelj ili partner na projektu</w:t>
            </w:r>
            <w:r>
              <w:rPr>
                <w:rFonts w:eastAsia="Times New Roman"/>
              </w:rPr>
              <w:t xml:space="preserve"> te ukoliko se odnose na prostor</w:t>
            </w:r>
            <w:r w:rsidRPr="007F7221">
              <w:rPr>
                <w:rFonts w:eastAsia="Times New Roman"/>
              </w:rPr>
              <w:t xml:space="preserve"> društveno-kulturnih centara u kojima se provode projektne aktivnosti, odnosno javn</w:t>
            </w:r>
            <w:r>
              <w:rPr>
                <w:rFonts w:eastAsia="Times New Roman"/>
              </w:rPr>
              <w:t>u</w:t>
            </w:r>
            <w:r w:rsidRPr="007F7221">
              <w:rPr>
                <w:rFonts w:eastAsia="Times New Roman"/>
              </w:rPr>
              <w:t xml:space="preserve"> infrastruktur</w:t>
            </w:r>
            <w:r>
              <w:rPr>
                <w:rFonts w:eastAsia="Times New Roman"/>
              </w:rPr>
              <w:t>u</w:t>
            </w:r>
            <w:r w:rsidRPr="007F7221">
              <w:rPr>
                <w:rFonts w:eastAsia="Times New Roman"/>
              </w:rPr>
              <w:t xml:space="preserve"> na koju se odnosi izrada modela sudioničkog upravljanja/u kojoj se implementira model sudioničkog upravljanja</w:t>
            </w:r>
            <w:r w:rsidRPr="005243EA">
              <w:rPr>
                <w:rFonts w:eastAsia="Times New Roman"/>
              </w:rPr>
              <w:t>.</w:t>
            </w:r>
          </w:p>
        </w:tc>
      </w:tr>
      <w:tr w:rsidR="001A1DD2" w:rsidRPr="007060DE" w14:paraId="53D1C4F8" w14:textId="77777777" w:rsidTr="001A1DD2">
        <w:tc>
          <w:tcPr>
            <w:tcW w:w="562" w:type="dxa"/>
          </w:tcPr>
          <w:p w14:paraId="6C1140A9" w14:textId="080D9975" w:rsidR="001A1DD2" w:rsidRPr="007060DE" w:rsidRDefault="001A1DD2" w:rsidP="00F2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26</w:t>
            </w:r>
          </w:p>
        </w:tc>
        <w:tc>
          <w:tcPr>
            <w:tcW w:w="4253" w:type="dxa"/>
          </w:tcPr>
          <w:p w14:paraId="0CBC3728" w14:textId="081CE220" w:rsidR="001A1DD2" w:rsidRPr="00B83F8C" w:rsidRDefault="001A1DD2" w:rsidP="00F21792">
            <w:r>
              <w:t>Vezano uz troškove plaća voditelja projekta, računamo li troškove plaća na mjesečnoj bazi ili na temelju radnih sati (zadnji dokumentirani bruto iznos troškova plaća podijeljeno s 1720)?</w:t>
            </w:r>
          </w:p>
        </w:tc>
        <w:tc>
          <w:tcPr>
            <w:tcW w:w="4678" w:type="dxa"/>
          </w:tcPr>
          <w:p w14:paraId="0F128054" w14:textId="51A75A97" w:rsidR="001A1DD2" w:rsidRPr="007060DE" w:rsidRDefault="001A1DD2" w:rsidP="007B2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 okviru ovog Poziva ne primjenjuju se </w:t>
            </w:r>
            <w:r w:rsidRPr="00584C3A">
              <w:rPr>
                <w:rFonts w:eastAsia="Times New Roman"/>
              </w:rPr>
              <w:t>pojednostavljene mo</w:t>
            </w:r>
            <w:r>
              <w:rPr>
                <w:rFonts w:eastAsia="Times New Roman"/>
              </w:rPr>
              <w:t>gućnosti financiranja plaća, odnosno s</w:t>
            </w:r>
            <w:r w:rsidRPr="00584C3A">
              <w:rPr>
                <w:rFonts w:eastAsia="Times New Roman"/>
              </w:rPr>
              <w:t>tandardne veličine za troškove osoblja</w:t>
            </w:r>
            <w:r>
              <w:rPr>
                <w:rFonts w:eastAsia="Times New Roman"/>
              </w:rPr>
              <w:t xml:space="preserve">, već se troškovi plaća obračunavaju na temelju </w:t>
            </w:r>
            <w:r w:rsidRPr="00584C3A">
              <w:rPr>
                <w:rFonts w:eastAsia="Times New Roman"/>
              </w:rPr>
              <w:t>stvarno nastalih izdataka</w:t>
            </w:r>
            <w:r>
              <w:rPr>
                <w:rFonts w:eastAsia="Times New Roman"/>
              </w:rPr>
              <w:t>. Troškovi rada voditelja projekta, koji mora biti zaposlen temeljem ugovora o radu, obračunavaju se sukladno točki 2.1 ili 2.2 U</w:t>
            </w:r>
            <w:r w:rsidRPr="00584C3A">
              <w:rPr>
                <w:rFonts w:eastAsia="Times New Roman"/>
              </w:rPr>
              <w:t>put</w:t>
            </w:r>
            <w:r>
              <w:rPr>
                <w:rFonts w:eastAsia="Times New Roman"/>
              </w:rPr>
              <w:t xml:space="preserve">e o prihvatljivosti </w:t>
            </w:r>
            <w:r w:rsidRPr="00584C3A">
              <w:rPr>
                <w:rFonts w:eastAsia="Times New Roman"/>
              </w:rPr>
              <w:t>troškova plaća i troškova povezan</w:t>
            </w:r>
            <w:r>
              <w:rPr>
                <w:rFonts w:eastAsia="Times New Roman"/>
              </w:rPr>
              <w:t>ih s radom u okviru Europskog socijalnog fonda u R</w:t>
            </w:r>
            <w:r w:rsidRPr="00584C3A">
              <w:rPr>
                <w:rFonts w:eastAsia="Times New Roman"/>
              </w:rPr>
              <w:t xml:space="preserve">epublici </w:t>
            </w:r>
            <w:r>
              <w:rPr>
                <w:rFonts w:eastAsia="Times New Roman"/>
              </w:rPr>
              <w:t>H</w:t>
            </w:r>
            <w:r w:rsidRPr="00584C3A">
              <w:rPr>
                <w:rFonts w:eastAsia="Times New Roman"/>
              </w:rPr>
              <w:t xml:space="preserve">rvatskoj 2014. – 2020. </w:t>
            </w:r>
            <w:r>
              <w:rPr>
                <w:rFonts w:eastAsia="Times New Roman"/>
              </w:rPr>
              <w:t>(ovisno o tome planira li se zapošljavanje na puno ili dio radnog vremena).</w:t>
            </w:r>
          </w:p>
        </w:tc>
      </w:tr>
      <w:tr w:rsidR="001A1DD2" w:rsidRPr="007060DE" w14:paraId="036321CC" w14:textId="77777777" w:rsidTr="001A1DD2">
        <w:tc>
          <w:tcPr>
            <w:tcW w:w="562" w:type="dxa"/>
          </w:tcPr>
          <w:p w14:paraId="317E4F9C" w14:textId="69DDBDB9" w:rsidR="001A1DD2" w:rsidRPr="007060DE" w:rsidRDefault="001A1DD2" w:rsidP="00F2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4253" w:type="dxa"/>
          </w:tcPr>
          <w:p w14:paraId="71F5D7B3" w14:textId="3E98E9E4" w:rsidR="001A1DD2" w:rsidRPr="00B83F8C" w:rsidRDefault="001A1DD2" w:rsidP="00F21792">
            <w:r>
              <w:t>U malom mjestu od 4.000 stanovnika postoji samo knjižnica i muzej. Je li knjižnica, uz JLS kao prijavitelja, prihvatljiv partner?</w:t>
            </w:r>
          </w:p>
        </w:tc>
        <w:tc>
          <w:tcPr>
            <w:tcW w:w="4678" w:type="dxa"/>
          </w:tcPr>
          <w:p w14:paraId="4266F8C9" w14:textId="63AE216A" w:rsidR="001A1DD2" w:rsidRPr="007060DE" w:rsidRDefault="001A1DD2" w:rsidP="00F2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Ukoliko je knjižnica (kao ustanova u kulturi) osnovana od strane jedinice lokalne ili područne (regionalne) samouprave, ona je prihvatljiv partner. </w:t>
            </w:r>
            <w:r w:rsidR="00DC0932" w:rsidRPr="00DC0932">
              <w:rPr>
                <w:rFonts w:eastAsia="Times New Roman"/>
              </w:rPr>
              <w:t>Navedeno projektno partnerstvo (JLS i ustanova u kulturi) mora uključivati ili savez udruga, koji ukoliko je jedina organizacija civilnoga društva u partnerstvu, mora djelovati u području kulture i umjetnosti</w:t>
            </w:r>
            <w:bookmarkStart w:id="0" w:name="_GoBack"/>
            <w:bookmarkEnd w:id="0"/>
            <w:r w:rsidR="0001081C">
              <w:rPr>
                <w:rFonts w:eastAsia="Times New Roman"/>
              </w:rPr>
              <w:t>,</w:t>
            </w:r>
            <w:r w:rsidR="00DC0932" w:rsidRPr="00DC0932">
              <w:rPr>
                <w:rFonts w:eastAsia="Times New Roman"/>
              </w:rPr>
              <w:t xml:space="preserve"> ili najmanje tri organizacije civilnoga društva od kojih najmanje jedna djeluje u području kulture i umjetnosti.</w:t>
            </w:r>
          </w:p>
        </w:tc>
      </w:tr>
      <w:tr w:rsidR="001A1DD2" w:rsidRPr="007060DE" w14:paraId="309F8AE9" w14:textId="77777777" w:rsidTr="001A1DD2">
        <w:tc>
          <w:tcPr>
            <w:tcW w:w="562" w:type="dxa"/>
          </w:tcPr>
          <w:p w14:paraId="0D143C5F" w14:textId="77777777" w:rsidR="001A1DD2" w:rsidRPr="007060DE" w:rsidRDefault="001A1DD2" w:rsidP="00F2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4253" w:type="dxa"/>
          </w:tcPr>
          <w:p w14:paraId="38D2F082" w14:textId="238392CB" w:rsidR="001A1DD2" w:rsidRPr="00B83F8C" w:rsidRDefault="001A1DD2" w:rsidP="00F21792">
            <w:r>
              <w:t>Je li u okviru prijave u skupini aktivnosti B nužno istaknuti broj zaposlenika ustanove koja nastupa kao prijavitelj?</w:t>
            </w:r>
          </w:p>
        </w:tc>
        <w:tc>
          <w:tcPr>
            <w:tcW w:w="4678" w:type="dxa"/>
          </w:tcPr>
          <w:p w14:paraId="2B5D2D4C" w14:textId="2F91F57D" w:rsidR="001A1DD2" w:rsidRPr="007060DE" w:rsidRDefault="001A1DD2" w:rsidP="000A75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Navedenu informaciju je moguće, iako ne nužno, navesti u opisu kapaciteta prijavitelja i partnera. No, prijavitelj je dužan navesti broj pripadnika ciljnih skupina </w:t>
            </w:r>
            <w:r w:rsidRPr="000A7557">
              <w:rPr>
                <w:rFonts w:eastAsia="Times New Roman"/>
              </w:rPr>
              <w:t xml:space="preserve">(uključujući i svoje zaposlenike) </w:t>
            </w:r>
            <w:r>
              <w:rPr>
                <w:rFonts w:eastAsia="Times New Roman"/>
              </w:rPr>
              <w:t>koji će sudjelovati u aktivnostima jačanja kapaciteta u doprinosu pokazatelju „</w:t>
            </w:r>
            <w:r w:rsidRPr="00701A08">
              <w:rPr>
                <w:rFonts w:eastAsia="Times New Roman"/>
              </w:rPr>
              <w:t>Broj članova i zaposlenika udruga i umjetničkih organizacija, zaposlenika javnih ustanova u kulturi kojima je osnivač jedinica lokalne ili područne samouprave te zaposlenika jedinica lokalne i područne (regionalne) samouprave koji sudjeluju u aktivnostima jačanja kapaciteta u području sudioničkog upravljanja u kulturi</w:t>
            </w:r>
            <w:r>
              <w:rPr>
                <w:rFonts w:eastAsia="Times New Roman"/>
              </w:rPr>
              <w:t>“ u okviru rubrike „Ciljevi projekta s pokazateljima“ prijavnog obrasca A.</w:t>
            </w:r>
          </w:p>
        </w:tc>
      </w:tr>
      <w:tr w:rsidR="001A1DD2" w:rsidRPr="007060DE" w14:paraId="0B794829" w14:textId="77777777" w:rsidTr="001A1DD2">
        <w:tc>
          <w:tcPr>
            <w:tcW w:w="562" w:type="dxa"/>
          </w:tcPr>
          <w:p w14:paraId="73A0DF5D" w14:textId="555DBF3A" w:rsidR="001A1DD2" w:rsidRPr="007060DE" w:rsidRDefault="001A1DD2" w:rsidP="00F2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4253" w:type="dxa"/>
          </w:tcPr>
          <w:p w14:paraId="4A7C4BC8" w14:textId="325CFF42" w:rsidR="001A1DD2" w:rsidRPr="00B83F8C" w:rsidRDefault="001A1DD2" w:rsidP="00F21792">
            <w:r>
              <w:t>Je li u okviru skupine aktivnosti B prihvatljivo umrežavanje na regionalnoj, ne lokalnoj razini?</w:t>
            </w:r>
          </w:p>
        </w:tc>
        <w:tc>
          <w:tcPr>
            <w:tcW w:w="4678" w:type="dxa"/>
          </w:tcPr>
          <w:p w14:paraId="1D742341" w14:textId="23EA7AEE" w:rsidR="001A1DD2" w:rsidRPr="007060DE" w:rsidRDefault="001A1DD2" w:rsidP="00F2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Umrežavanje na regionalnoj razini je prihvatljivo ukoliko je jasno obrazložena poveznica takvih aktivnosti s ciljevima projektnog prijedloga i Poziva.</w:t>
            </w:r>
          </w:p>
        </w:tc>
      </w:tr>
    </w:tbl>
    <w:p w14:paraId="13EBCD01" w14:textId="77777777" w:rsidR="0016404E" w:rsidRPr="007060DE" w:rsidRDefault="0016404E">
      <w:pPr>
        <w:rPr>
          <w:rFonts w:eastAsia="Times New Roman"/>
        </w:rPr>
      </w:pPr>
    </w:p>
    <w:sectPr w:rsidR="0016404E" w:rsidRPr="00706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E5A9C0" w16cid:durableId="1E2D50EA"/>
  <w16cid:commentId w16cid:paraId="5E2654FF" w16cid:durableId="1E2D4FE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1B14"/>
    <w:multiLevelType w:val="hybridMultilevel"/>
    <w:tmpl w:val="1D6C40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101F7"/>
    <w:multiLevelType w:val="hybridMultilevel"/>
    <w:tmpl w:val="343EB01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A261B0"/>
    <w:multiLevelType w:val="hybridMultilevel"/>
    <w:tmpl w:val="9D30EA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40CA8"/>
    <w:multiLevelType w:val="hybridMultilevel"/>
    <w:tmpl w:val="E64804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F31EA"/>
    <w:multiLevelType w:val="hybridMultilevel"/>
    <w:tmpl w:val="DB04BCC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AB61A9"/>
    <w:multiLevelType w:val="multilevel"/>
    <w:tmpl w:val="CBA6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EF2A41"/>
    <w:multiLevelType w:val="hybridMultilevel"/>
    <w:tmpl w:val="D39C9506"/>
    <w:lvl w:ilvl="0" w:tplc="21C01C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833F2"/>
    <w:multiLevelType w:val="hybridMultilevel"/>
    <w:tmpl w:val="7DB646E2"/>
    <w:lvl w:ilvl="0" w:tplc="90801DFA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4E"/>
    <w:rsid w:val="00001866"/>
    <w:rsid w:val="0001081C"/>
    <w:rsid w:val="00013FAC"/>
    <w:rsid w:val="00014BC4"/>
    <w:rsid w:val="0001530D"/>
    <w:rsid w:val="00017516"/>
    <w:rsid w:val="0002056F"/>
    <w:rsid w:val="00020DEC"/>
    <w:rsid w:val="0002253C"/>
    <w:rsid w:val="00023F40"/>
    <w:rsid w:val="000336E6"/>
    <w:rsid w:val="000338C1"/>
    <w:rsid w:val="00035A86"/>
    <w:rsid w:val="00037E50"/>
    <w:rsid w:val="0004182D"/>
    <w:rsid w:val="00041F5D"/>
    <w:rsid w:val="00041FAA"/>
    <w:rsid w:val="000510D3"/>
    <w:rsid w:val="00060499"/>
    <w:rsid w:val="000662D6"/>
    <w:rsid w:val="00066F47"/>
    <w:rsid w:val="00067B5E"/>
    <w:rsid w:val="0007146E"/>
    <w:rsid w:val="00071FAF"/>
    <w:rsid w:val="000767A9"/>
    <w:rsid w:val="00082D44"/>
    <w:rsid w:val="0008303C"/>
    <w:rsid w:val="00091371"/>
    <w:rsid w:val="0009217B"/>
    <w:rsid w:val="0009286C"/>
    <w:rsid w:val="0009600D"/>
    <w:rsid w:val="000A1684"/>
    <w:rsid w:val="000A7557"/>
    <w:rsid w:val="000B0609"/>
    <w:rsid w:val="000B3ECE"/>
    <w:rsid w:val="000C01F1"/>
    <w:rsid w:val="000C06C5"/>
    <w:rsid w:val="000C2FC0"/>
    <w:rsid w:val="000C3A5E"/>
    <w:rsid w:val="000D00A5"/>
    <w:rsid w:val="000D37EF"/>
    <w:rsid w:val="000D3B48"/>
    <w:rsid w:val="000D455D"/>
    <w:rsid w:val="000D5844"/>
    <w:rsid w:val="000D6BF9"/>
    <w:rsid w:val="000D75E9"/>
    <w:rsid w:val="000E04B3"/>
    <w:rsid w:val="000E17D3"/>
    <w:rsid w:val="000F2BD9"/>
    <w:rsid w:val="000F2C8A"/>
    <w:rsid w:val="000F2EDB"/>
    <w:rsid w:val="000F3735"/>
    <w:rsid w:val="000F4D98"/>
    <w:rsid w:val="00101122"/>
    <w:rsid w:val="00101471"/>
    <w:rsid w:val="001015B9"/>
    <w:rsid w:val="0010317B"/>
    <w:rsid w:val="00104806"/>
    <w:rsid w:val="00107E41"/>
    <w:rsid w:val="00113950"/>
    <w:rsid w:val="00116596"/>
    <w:rsid w:val="00116E39"/>
    <w:rsid w:val="00117F71"/>
    <w:rsid w:val="00120E2E"/>
    <w:rsid w:val="00121680"/>
    <w:rsid w:val="00123521"/>
    <w:rsid w:val="00124A60"/>
    <w:rsid w:val="001506B3"/>
    <w:rsid w:val="00154868"/>
    <w:rsid w:val="001554DD"/>
    <w:rsid w:val="001558EC"/>
    <w:rsid w:val="00156DC4"/>
    <w:rsid w:val="00161857"/>
    <w:rsid w:val="0016404E"/>
    <w:rsid w:val="001653BB"/>
    <w:rsid w:val="0016587E"/>
    <w:rsid w:val="00166748"/>
    <w:rsid w:val="00175A59"/>
    <w:rsid w:val="0017612A"/>
    <w:rsid w:val="00183A19"/>
    <w:rsid w:val="00187702"/>
    <w:rsid w:val="001924AA"/>
    <w:rsid w:val="001A037B"/>
    <w:rsid w:val="001A1DD2"/>
    <w:rsid w:val="001A5B50"/>
    <w:rsid w:val="001B3079"/>
    <w:rsid w:val="001B3871"/>
    <w:rsid w:val="001B443E"/>
    <w:rsid w:val="001C454D"/>
    <w:rsid w:val="001C7720"/>
    <w:rsid w:val="001D3221"/>
    <w:rsid w:val="001D364E"/>
    <w:rsid w:val="001E2839"/>
    <w:rsid w:val="001E3896"/>
    <w:rsid w:val="001E5813"/>
    <w:rsid w:val="001F4AAE"/>
    <w:rsid w:val="001F68F5"/>
    <w:rsid w:val="00202123"/>
    <w:rsid w:val="00207939"/>
    <w:rsid w:val="0021460B"/>
    <w:rsid w:val="00226004"/>
    <w:rsid w:val="00233B33"/>
    <w:rsid w:val="00235813"/>
    <w:rsid w:val="0023589E"/>
    <w:rsid w:val="00240CF2"/>
    <w:rsid w:val="00246EB2"/>
    <w:rsid w:val="0024717E"/>
    <w:rsid w:val="00247460"/>
    <w:rsid w:val="00252FDF"/>
    <w:rsid w:val="00255808"/>
    <w:rsid w:val="00257D56"/>
    <w:rsid w:val="0026229C"/>
    <w:rsid w:val="002655B5"/>
    <w:rsid w:val="0027254A"/>
    <w:rsid w:val="0027472E"/>
    <w:rsid w:val="0027748B"/>
    <w:rsid w:val="00282292"/>
    <w:rsid w:val="002872FA"/>
    <w:rsid w:val="00291BD5"/>
    <w:rsid w:val="00291EAA"/>
    <w:rsid w:val="0029249C"/>
    <w:rsid w:val="00293DF7"/>
    <w:rsid w:val="00296D17"/>
    <w:rsid w:val="002A0EB0"/>
    <w:rsid w:val="002B2862"/>
    <w:rsid w:val="002B7055"/>
    <w:rsid w:val="002D3ED3"/>
    <w:rsid w:val="002D44B3"/>
    <w:rsid w:val="002D4643"/>
    <w:rsid w:val="002D4C47"/>
    <w:rsid w:val="002D6C96"/>
    <w:rsid w:val="002D7A65"/>
    <w:rsid w:val="002E1B76"/>
    <w:rsid w:val="002E1BF5"/>
    <w:rsid w:val="002E47D9"/>
    <w:rsid w:val="002E7429"/>
    <w:rsid w:val="002F1FA0"/>
    <w:rsid w:val="002F52A1"/>
    <w:rsid w:val="002F76C3"/>
    <w:rsid w:val="002F7C7F"/>
    <w:rsid w:val="00302457"/>
    <w:rsid w:val="003126AC"/>
    <w:rsid w:val="00322B54"/>
    <w:rsid w:val="00324333"/>
    <w:rsid w:val="0032637D"/>
    <w:rsid w:val="003266C2"/>
    <w:rsid w:val="003341FF"/>
    <w:rsid w:val="00334D61"/>
    <w:rsid w:val="00334E3B"/>
    <w:rsid w:val="0033517A"/>
    <w:rsid w:val="003410DF"/>
    <w:rsid w:val="00346E41"/>
    <w:rsid w:val="00347D00"/>
    <w:rsid w:val="00350E28"/>
    <w:rsid w:val="0035517E"/>
    <w:rsid w:val="00355917"/>
    <w:rsid w:val="00356D2C"/>
    <w:rsid w:val="00363C43"/>
    <w:rsid w:val="00366DC8"/>
    <w:rsid w:val="003731F3"/>
    <w:rsid w:val="003737E8"/>
    <w:rsid w:val="00374EBD"/>
    <w:rsid w:val="00377690"/>
    <w:rsid w:val="00383E8C"/>
    <w:rsid w:val="0039399C"/>
    <w:rsid w:val="00393FF7"/>
    <w:rsid w:val="00396ABF"/>
    <w:rsid w:val="003A50FA"/>
    <w:rsid w:val="003B044E"/>
    <w:rsid w:val="003B0FA8"/>
    <w:rsid w:val="003B52ED"/>
    <w:rsid w:val="003B5AD5"/>
    <w:rsid w:val="003B7C40"/>
    <w:rsid w:val="003C1A66"/>
    <w:rsid w:val="003C7BC8"/>
    <w:rsid w:val="003D2D3E"/>
    <w:rsid w:val="003D6853"/>
    <w:rsid w:val="003D6EDD"/>
    <w:rsid w:val="003E5E8F"/>
    <w:rsid w:val="003E6954"/>
    <w:rsid w:val="003F1095"/>
    <w:rsid w:val="003F6681"/>
    <w:rsid w:val="00405465"/>
    <w:rsid w:val="00417A19"/>
    <w:rsid w:val="00426BB2"/>
    <w:rsid w:val="00437396"/>
    <w:rsid w:val="00442A74"/>
    <w:rsid w:val="00443214"/>
    <w:rsid w:val="00452647"/>
    <w:rsid w:val="004706AB"/>
    <w:rsid w:val="004813A7"/>
    <w:rsid w:val="004843D7"/>
    <w:rsid w:val="004855B9"/>
    <w:rsid w:val="0049260D"/>
    <w:rsid w:val="004974A7"/>
    <w:rsid w:val="004A2138"/>
    <w:rsid w:val="004B1740"/>
    <w:rsid w:val="004B3061"/>
    <w:rsid w:val="004B6AAB"/>
    <w:rsid w:val="004B6E7C"/>
    <w:rsid w:val="004D3866"/>
    <w:rsid w:val="004E019D"/>
    <w:rsid w:val="004E08BA"/>
    <w:rsid w:val="004E567A"/>
    <w:rsid w:val="004E7355"/>
    <w:rsid w:val="004F64B9"/>
    <w:rsid w:val="004F7E50"/>
    <w:rsid w:val="005029F7"/>
    <w:rsid w:val="00502F91"/>
    <w:rsid w:val="00505653"/>
    <w:rsid w:val="00506C47"/>
    <w:rsid w:val="00507909"/>
    <w:rsid w:val="00511856"/>
    <w:rsid w:val="00512B44"/>
    <w:rsid w:val="005173AF"/>
    <w:rsid w:val="0051771F"/>
    <w:rsid w:val="00520E65"/>
    <w:rsid w:val="005213E0"/>
    <w:rsid w:val="00522622"/>
    <w:rsid w:val="005243EA"/>
    <w:rsid w:val="0052496B"/>
    <w:rsid w:val="00524F61"/>
    <w:rsid w:val="00526106"/>
    <w:rsid w:val="005263F8"/>
    <w:rsid w:val="00527FA5"/>
    <w:rsid w:val="00535573"/>
    <w:rsid w:val="00543004"/>
    <w:rsid w:val="00546616"/>
    <w:rsid w:val="00553601"/>
    <w:rsid w:val="00563F34"/>
    <w:rsid w:val="005642B7"/>
    <w:rsid w:val="005652B2"/>
    <w:rsid w:val="0056686B"/>
    <w:rsid w:val="00572605"/>
    <w:rsid w:val="00574A3F"/>
    <w:rsid w:val="00583906"/>
    <w:rsid w:val="00584C3A"/>
    <w:rsid w:val="0059591E"/>
    <w:rsid w:val="005959A8"/>
    <w:rsid w:val="005A620F"/>
    <w:rsid w:val="005A6BF6"/>
    <w:rsid w:val="005B1E9A"/>
    <w:rsid w:val="005B46AB"/>
    <w:rsid w:val="005B7017"/>
    <w:rsid w:val="005C5AF0"/>
    <w:rsid w:val="005D1120"/>
    <w:rsid w:val="005E1387"/>
    <w:rsid w:val="005E1AB7"/>
    <w:rsid w:val="005E76CC"/>
    <w:rsid w:val="005F52F6"/>
    <w:rsid w:val="005F7218"/>
    <w:rsid w:val="00600046"/>
    <w:rsid w:val="0060241F"/>
    <w:rsid w:val="00605BA3"/>
    <w:rsid w:val="006122DE"/>
    <w:rsid w:val="006125A9"/>
    <w:rsid w:val="006169AB"/>
    <w:rsid w:val="006217A7"/>
    <w:rsid w:val="00634DF4"/>
    <w:rsid w:val="00635AD3"/>
    <w:rsid w:val="00636658"/>
    <w:rsid w:val="00653F10"/>
    <w:rsid w:val="00654599"/>
    <w:rsid w:val="00655204"/>
    <w:rsid w:val="00663654"/>
    <w:rsid w:val="00670E75"/>
    <w:rsid w:val="006719AB"/>
    <w:rsid w:val="00674607"/>
    <w:rsid w:val="006770C1"/>
    <w:rsid w:val="00680F8C"/>
    <w:rsid w:val="00682EF3"/>
    <w:rsid w:val="00684BC4"/>
    <w:rsid w:val="00684DE3"/>
    <w:rsid w:val="00686114"/>
    <w:rsid w:val="00687582"/>
    <w:rsid w:val="00687A4A"/>
    <w:rsid w:val="006900B0"/>
    <w:rsid w:val="006907BF"/>
    <w:rsid w:val="00696E5E"/>
    <w:rsid w:val="006A0725"/>
    <w:rsid w:val="006A1E9A"/>
    <w:rsid w:val="006A5EE6"/>
    <w:rsid w:val="006B285C"/>
    <w:rsid w:val="006C2853"/>
    <w:rsid w:val="006C5E78"/>
    <w:rsid w:val="006D60AC"/>
    <w:rsid w:val="006E04BB"/>
    <w:rsid w:val="006E2367"/>
    <w:rsid w:val="006E2FC8"/>
    <w:rsid w:val="006E704C"/>
    <w:rsid w:val="006E795E"/>
    <w:rsid w:val="006F1A50"/>
    <w:rsid w:val="006F4347"/>
    <w:rsid w:val="006F4921"/>
    <w:rsid w:val="00701A08"/>
    <w:rsid w:val="007032E5"/>
    <w:rsid w:val="00705F60"/>
    <w:rsid w:val="007060DE"/>
    <w:rsid w:val="00706C3F"/>
    <w:rsid w:val="007162BB"/>
    <w:rsid w:val="007207E4"/>
    <w:rsid w:val="00721627"/>
    <w:rsid w:val="00722FE0"/>
    <w:rsid w:val="00723151"/>
    <w:rsid w:val="007238D9"/>
    <w:rsid w:val="007248B0"/>
    <w:rsid w:val="007258FC"/>
    <w:rsid w:val="0073065A"/>
    <w:rsid w:val="00733139"/>
    <w:rsid w:val="00733502"/>
    <w:rsid w:val="0073629A"/>
    <w:rsid w:val="00737800"/>
    <w:rsid w:val="00740A48"/>
    <w:rsid w:val="007455AF"/>
    <w:rsid w:val="0077523E"/>
    <w:rsid w:val="00782A53"/>
    <w:rsid w:val="00782A89"/>
    <w:rsid w:val="007840E6"/>
    <w:rsid w:val="007842E8"/>
    <w:rsid w:val="007874FC"/>
    <w:rsid w:val="0078768D"/>
    <w:rsid w:val="00787F25"/>
    <w:rsid w:val="007902A4"/>
    <w:rsid w:val="0079089E"/>
    <w:rsid w:val="00793263"/>
    <w:rsid w:val="00793B71"/>
    <w:rsid w:val="00793CDE"/>
    <w:rsid w:val="0079422A"/>
    <w:rsid w:val="00796892"/>
    <w:rsid w:val="00797876"/>
    <w:rsid w:val="007A0084"/>
    <w:rsid w:val="007A0889"/>
    <w:rsid w:val="007A0FFA"/>
    <w:rsid w:val="007A2557"/>
    <w:rsid w:val="007A3FC2"/>
    <w:rsid w:val="007B2060"/>
    <w:rsid w:val="007B2908"/>
    <w:rsid w:val="007B3EB1"/>
    <w:rsid w:val="007B462C"/>
    <w:rsid w:val="007B52B4"/>
    <w:rsid w:val="007C61CB"/>
    <w:rsid w:val="007C6B2F"/>
    <w:rsid w:val="007D1D64"/>
    <w:rsid w:val="007D3223"/>
    <w:rsid w:val="007D4634"/>
    <w:rsid w:val="007D4DA6"/>
    <w:rsid w:val="007D64B9"/>
    <w:rsid w:val="007D6F90"/>
    <w:rsid w:val="007E0C63"/>
    <w:rsid w:val="007E1EE5"/>
    <w:rsid w:val="007E2FAB"/>
    <w:rsid w:val="007E5ABB"/>
    <w:rsid w:val="007F028B"/>
    <w:rsid w:val="007F2388"/>
    <w:rsid w:val="007F3F90"/>
    <w:rsid w:val="007F5B2C"/>
    <w:rsid w:val="007F6060"/>
    <w:rsid w:val="007F702B"/>
    <w:rsid w:val="007F7221"/>
    <w:rsid w:val="007F76FB"/>
    <w:rsid w:val="007F7DE4"/>
    <w:rsid w:val="00801B50"/>
    <w:rsid w:val="00803608"/>
    <w:rsid w:val="00811211"/>
    <w:rsid w:val="0082265F"/>
    <w:rsid w:val="00826C89"/>
    <w:rsid w:val="008320D3"/>
    <w:rsid w:val="008325C6"/>
    <w:rsid w:val="008342E1"/>
    <w:rsid w:val="008376FD"/>
    <w:rsid w:val="00840FA7"/>
    <w:rsid w:val="00844F1A"/>
    <w:rsid w:val="00846E07"/>
    <w:rsid w:val="00851157"/>
    <w:rsid w:val="00853A97"/>
    <w:rsid w:val="00862B5F"/>
    <w:rsid w:val="00865017"/>
    <w:rsid w:val="008662F2"/>
    <w:rsid w:val="00871A0C"/>
    <w:rsid w:val="008721C5"/>
    <w:rsid w:val="00873DFC"/>
    <w:rsid w:val="00893769"/>
    <w:rsid w:val="00894352"/>
    <w:rsid w:val="00897E15"/>
    <w:rsid w:val="008A0065"/>
    <w:rsid w:val="008B14D1"/>
    <w:rsid w:val="008B1E72"/>
    <w:rsid w:val="008B64C0"/>
    <w:rsid w:val="008C18AD"/>
    <w:rsid w:val="008C584C"/>
    <w:rsid w:val="008D5D96"/>
    <w:rsid w:val="008D66A3"/>
    <w:rsid w:val="008F011C"/>
    <w:rsid w:val="008F0C83"/>
    <w:rsid w:val="008F1A41"/>
    <w:rsid w:val="008F3A3A"/>
    <w:rsid w:val="00900D30"/>
    <w:rsid w:val="00902A91"/>
    <w:rsid w:val="00903930"/>
    <w:rsid w:val="00904611"/>
    <w:rsid w:val="00904A9B"/>
    <w:rsid w:val="009078B0"/>
    <w:rsid w:val="009121D1"/>
    <w:rsid w:val="00912CD3"/>
    <w:rsid w:val="0091513D"/>
    <w:rsid w:val="0091589A"/>
    <w:rsid w:val="009235F5"/>
    <w:rsid w:val="00926F16"/>
    <w:rsid w:val="009304DB"/>
    <w:rsid w:val="00931BC1"/>
    <w:rsid w:val="00934C1D"/>
    <w:rsid w:val="009356CA"/>
    <w:rsid w:val="00937AB3"/>
    <w:rsid w:val="0094175A"/>
    <w:rsid w:val="00942517"/>
    <w:rsid w:val="00946CC1"/>
    <w:rsid w:val="00954AAE"/>
    <w:rsid w:val="00956DD2"/>
    <w:rsid w:val="00957FD0"/>
    <w:rsid w:val="009611DA"/>
    <w:rsid w:val="0096315F"/>
    <w:rsid w:val="009631E5"/>
    <w:rsid w:val="00966676"/>
    <w:rsid w:val="00970AFA"/>
    <w:rsid w:val="009723A5"/>
    <w:rsid w:val="0097268A"/>
    <w:rsid w:val="00972EBB"/>
    <w:rsid w:val="0097606F"/>
    <w:rsid w:val="009818BE"/>
    <w:rsid w:val="00981C5F"/>
    <w:rsid w:val="009837B1"/>
    <w:rsid w:val="00984C17"/>
    <w:rsid w:val="009876AA"/>
    <w:rsid w:val="00987DEF"/>
    <w:rsid w:val="00990559"/>
    <w:rsid w:val="00992927"/>
    <w:rsid w:val="009A0166"/>
    <w:rsid w:val="009A22AF"/>
    <w:rsid w:val="009A3898"/>
    <w:rsid w:val="009B1A04"/>
    <w:rsid w:val="009B4C39"/>
    <w:rsid w:val="009B553E"/>
    <w:rsid w:val="009C0913"/>
    <w:rsid w:val="009C30F8"/>
    <w:rsid w:val="009C5BD5"/>
    <w:rsid w:val="009C75C0"/>
    <w:rsid w:val="009D31B7"/>
    <w:rsid w:val="009D32B1"/>
    <w:rsid w:val="009D3C07"/>
    <w:rsid w:val="009D57EC"/>
    <w:rsid w:val="009E2AFB"/>
    <w:rsid w:val="009F0278"/>
    <w:rsid w:val="009F121F"/>
    <w:rsid w:val="009F2EA6"/>
    <w:rsid w:val="009F43BA"/>
    <w:rsid w:val="009F5EED"/>
    <w:rsid w:val="009F60EC"/>
    <w:rsid w:val="009F74B5"/>
    <w:rsid w:val="00A00045"/>
    <w:rsid w:val="00A0155B"/>
    <w:rsid w:val="00A02D5B"/>
    <w:rsid w:val="00A04B86"/>
    <w:rsid w:val="00A10A3E"/>
    <w:rsid w:val="00A10E8E"/>
    <w:rsid w:val="00A12515"/>
    <w:rsid w:val="00A2143D"/>
    <w:rsid w:val="00A23CB1"/>
    <w:rsid w:val="00A252EC"/>
    <w:rsid w:val="00A253B7"/>
    <w:rsid w:val="00A2721F"/>
    <w:rsid w:val="00A33B95"/>
    <w:rsid w:val="00A4504A"/>
    <w:rsid w:val="00A456EB"/>
    <w:rsid w:val="00A45B4E"/>
    <w:rsid w:val="00A500CE"/>
    <w:rsid w:val="00A51C76"/>
    <w:rsid w:val="00A56F3B"/>
    <w:rsid w:val="00A57E90"/>
    <w:rsid w:val="00A60567"/>
    <w:rsid w:val="00A615E4"/>
    <w:rsid w:val="00A62FE3"/>
    <w:rsid w:val="00A6770F"/>
    <w:rsid w:val="00A70BFB"/>
    <w:rsid w:val="00A71D8E"/>
    <w:rsid w:val="00A767FD"/>
    <w:rsid w:val="00A8137C"/>
    <w:rsid w:val="00A82D55"/>
    <w:rsid w:val="00A82DE9"/>
    <w:rsid w:val="00A84804"/>
    <w:rsid w:val="00A9109B"/>
    <w:rsid w:val="00A936DC"/>
    <w:rsid w:val="00A95884"/>
    <w:rsid w:val="00A9686A"/>
    <w:rsid w:val="00AA182A"/>
    <w:rsid w:val="00AA292A"/>
    <w:rsid w:val="00AA30BB"/>
    <w:rsid w:val="00AA3613"/>
    <w:rsid w:val="00AA5376"/>
    <w:rsid w:val="00AB6CFF"/>
    <w:rsid w:val="00AC15D3"/>
    <w:rsid w:val="00AC79DB"/>
    <w:rsid w:val="00AD136C"/>
    <w:rsid w:val="00AD21EE"/>
    <w:rsid w:val="00AE5FD8"/>
    <w:rsid w:val="00AE702A"/>
    <w:rsid w:val="00AF0101"/>
    <w:rsid w:val="00AF415D"/>
    <w:rsid w:val="00AF683D"/>
    <w:rsid w:val="00AF69E3"/>
    <w:rsid w:val="00B00AFC"/>
    <w:rsid w:val="00B05F3F"/>
    <w:rsid w:val="00B06F04"/>
    <w:rsid w:val="00B12243"/>
    <w:rsid w:val="00B13B51"/>
    <w:rsid w:val="00B14898"/>
    <w:rsid w:val="00B15D66"/>
    <w:rsid w:val="00B2241B"/>
    <w:rsid w:val="00B321B4"/>
    <w:rsid w:val="00B3257C"/>
    <w:rsid w:val="00B337EF"/>
    <w:rsid w:val="00B36484"/>
    <w:rsid w:val="00B37537"/>
    <w:rsid w:val="00B4128C"/>
    <w:rsid w:val="00B418E4"/>
    <w:rsid w:val="00B43C2D"/>
    <w:rsid w:val="00B50B8E"/>
    <w:rsid w:val="00B53DA4"/>
    <w:rsid w:val="00B545AD"/>
    <w:rsid w:val="00B61114"/>
    <w:rsid w:val="00B6403C"/>
    <w:rsid w:val="00B64413"/>
    <w:rsid w:val="00B65ACD"/>
    <w:rsid w:val="00B700C4"/>
    <w:rsid w:val="00B70325"/>
    <w:rsid w:val="00B74B7E"/>
    <w:rsid w:val="00B74EDA"/>
    <w:rsid w:val="00B75523"/>
    <w:rsid w:val="00B82BA8"/>
    <w:rsid w:val="00B83965"/>
    <w:rsid w:val="00B83F8C"/>
    <w:rsid w:val="00B86393"/>
    <w:rsid w:val="00B9029C"/>
    <w:rsid w:val="00B9192A"/>
    <w:rsid w:val="00B9227D"/>
    <w:rsid w:val="00B9257D"/>
    <w:rsid w:val="00B93A9E"/>
    <w:rsid w:val="00B944CF"/>
    <w:rsid w:val="00B95926"/>
    <w:rsid w:val="00BA05E8"/>
    <w:rsid w:val="00BA2D9C"/>
    <w:rsid w:val="00BA7176"/>
    <w:rsid w:val="00BB15F4"/>
    <w:rsid w:val="00BB256B"/>
    <w:rsid w:val="00BB78B3"/>
    <w:rsid w:val="00BC3EB6"/>
    <w:rsid w:val="00BC6670"/>
    <w:rsid w:val="00BC6B8E"/>
    <w:rsid w:val="00BC6CE5"/>
    <w:rsid w:val="00BD1ED7"/>
    <w:rsid w:val="00BD3D15"/>
    <w:rsid w:val="00BE0FFF"/>
    <w:rsid w:val="00BE5496"/>
    <w:rsid w:val="00BE577A"/>
    <w:rsid w:val="00BF6CC1"/>
    <w:rsid w:val="00C024D5"/>
    <w:rsid w:val="00C03226"/>
    <w:rsid w:val="00C03D0B"/>
    <w:rsid w:val="00C04D4B"/>
    <w:rsid w:val="00C0716C"/>
    <w:rsid w:val="00C11E60"/>
    <w:rsid w:val="00C12ECE"/>
    <w:rsid w:val="00C20B60"/>
    <w:rsid w:val="00C21620"/>
    <w:rsid w:val="00C236C0"/>
    <w:rsid w:val="00C33206"/>
    <w:rsid w:val="00C379AE"/>
    <w:rsid w:val="00C411A1"/>
    <w:rsid w:val="00C43AA7"/>
    <w:rsid w:val="00C50D52"/>
    <w:rsid w:val="00C51565"/>
    <w:rsid w:val="00C51E55"/>
    <w:rsid w:val="00C540AC"/>
    <w:rsid w:val="00C64DE3"/>
    <w:rsid w:val="00C70821"/>
    <w:rsid w:val="00C70D22"/>
    <w:rsid w:val="00C74E5F"/>
    <w:rsid w:val="00C77E23"/>
    <w:rsid w:val="00C815EE"/>
    <w:rsid w:val="00C81FD6"/>
    <w:rsid w:val="00C8354A"/>
    <w:rsid w:val="00C85C0C"/>
    <w:rsid w:val="00C93134"/>
    <w:rsid w:val="00C9429E"/>
    <w:rsid w:val="00C95CD0"/>
    <w:rsid w:val="00C9674F"/>
    <w:rsid w:val="00C978F0"/>
    <w:rsid w:val="00CA0880"/>
    <w:rsid w:val="00CA3348"/>
    <w:rsid w:val="00CA4C29"/>
    <w:rsid w:val="00CB136D"/>
    <w:rsid w:val="00CC1B19"/>
    <w:rsid w:val="00CD2592"/>
    <w:rsid w:val="00CD285B"/>
    <w:rsid w:val="00CD41B7"/>
    <w:rsid w:val="00CD6E56"/>
    <w:rsid w:val="00CD7412"/>
    <w:rsid w:val="00CE0306"/>
    <w:rsid w:val="00CE0FB4"/>
    <w:rsid w:val="00CE3B08"/>
    <w:rsid w:val="00CE6DB0"/>
    <w:rsid w:val="00CE6FDB"/>
    <w:rsid w:val="00CF0D3E"/>
    <w:rsid w:val="00CF5255"/>
    <w:rsid w:val="00CF7631"/>
    <w:rsid w:val="00CF7F6E"/>
    <w:rsid w:val="00D1311A"/>
    <w:rsid w:val="00D141B6"/>
    <w:rsid w:val="00D155BB"/>
    <w:rsid w:val="00D16BCE"/>
    <w:rsid w:val="00D267D5"/>
    <w:rsid w:val="00D27AE2"/>
    <w:rsid w:val="00D30522"/>
    <w:rsid w:val="00D32056"/>
    <w:rsid w:val="00D33FD9"/>
    <w:rsid w:val="00D37E31"/>
    <w:rsid w:val="00D402D7"/>
    <w:rsid w:val="00D54261"/>
    <w:rsid w:val="00D6321D"/>
    <w:rsid w:val="00D66BE2"/>
    <w:rsid w:val="00D71DCB"/>
    <w:rsid w:val="00D723B6"/>
    <w:rsid w:val="00D82909"/>
    <w:rsid w:val="00D86708"/>
    <w:rsid w:val="00D90CF6"/>
    <w:rsid w:val="00D9102A"/>
    <w:rsid w:val="00DA4EFA"/>
    <w:rsid w:val="00DA7D31"/>
    <w:rsid w:val="00DB06AB"/>
    <w:rsid w:val="00DB10CE"/>
    <w:rsid w:val="00DB18BE"/>
    <w:rsid w:val="00DB42C6"/>
    <w:rsid w:val="00DB603F"/>
    <w:rsid w:val="00DB7036"/>
    <w:rsid w:val="00DB7554"/>
    <w:rsid w:val="00DC082F"/>
    <w:rsid w:val="00DC0932"/>
    <w:rsid w:val="00DC1940"/>
    <w:rsid w:val="00DC24C0"/>
    <w:rsid w:val="00DC2CAC"/>
    <w:rsid w:val="00DD393A"/>
    <w:rsid w:val="00DD4856"/>
    <w:rsid w:val="00DD4ED3"/>
    <w:rsid w:val="00DD5CF4"/>
    <w:rsid w:val="00DE388C"/>
    <w:rsid w:val="00DE3A50"/>
    <w:rsid w:val="00DE51B0"/>
    <w:rsid w:val="00DE5FFB"/>
    <w:rsid w:val="00DE6D70"/>
    <w:rsid w:val="00DF2236"/>
    <w:rsid w:val="00DF234A"/>
    <w:rsid w:val="00DF59F4"/>
    <w:rsid w:val="00E02175"/>
    <w:rsid w:val="00E03F8A"/>
    <w:rsid w:val="00E03FDF"/>
    <w:rsid w:val="00E055B0"/>
    <w:rsid w:val="00E12706"/>
    <w:rsid w:val="00E17D1A"/>
    <w:rsid w:val="00E24445"/>
    <w:rsid w:val="00E3203B"/>
    <w:rsid w:val="00E33338"/>
    <w:rsid w:val="00E50B6C"/>
    <w:rsid w:val="00E51A07"/>
    <w:rsid w:val="00E6486B"/>
    <w:rsid w:val="00E7202A"/>
    <w:rsid w:val="00E72EE9"/>
    <w:rsid w:val="00E81CB7"/>
    <w:rsid w:val="00E87196"/>
    <w:rsid w:val="00E90930"/>
    <w:rsid w:val="00E9168D"/>
    <w:rsid w:val="00E9271D"/>
    <w:rsid w:val="00E93CFB"/>
    <w:rsid w:val="00E953F0"/>
    <w:rsid w:val="00E964B7"/>
    <w:rsid w:val="00E969AF"/>
    <w:rsid w:val="00E97715"/>
    <w:rsid w:val="00E97D2F"/>
    <w:rsid w:val="00EA73EE"/>
    <w:rsid w:val="00EA741C"/>
    <w:rsid w:val="00EB582F"/>
    <w:rsid w:val="00EC1D65"/>
    <w:rsid w:val="00EC4569"/>
    <w:rsid w:val="00EC7CDA"/>
    <w:rsid w:val="00ED3077"/>
    <w:rsid w:val="00ED38E9"/>
    <w:rsid w:val="00ED4AC8"/>
    <w:rsid w:val="00EE1184"/>
    <w:rsid w:val="00EE1482"/>
    <w:rsid w:val="00EE644C"/>
    <w:rsid w:val="00EF388E"/>
    <w:rsid w:val="00EF728D"/>
    <w:rsid w:val="00F00E72"/>
    <w:rsid w:val="00F01EF3"/>
    <w:rsid w:val="00F03E38"/>
    <w:rsid w:val="00F15FB4"/>
    <w:rsid w:val="00F17F86"/>
    <w:rsid w:val="00F21374"/>
    <w:rsid w:val="00F21792"/>
    <w:rsid w:val="00F21A6B"/>
    <w:rsid w:val="00F22D64"/>
    <w:rsid w:val="00F2303F"/>
    <w:rsid w:val="00F26821"/>
    <w:rsid w:val="00F27DB2"/>
    <w:rsid w:val="00F31A98"/>
    <w:rsid w:val="00F32906"/>
    <w:rsid w:val="00F41DC0"/>
    <w:rsid w:val="00F42F8C"/>
    <w:rsid w:val="00F46C48"/>
    <w:rsid w:val="00F5331D"/>
    <w:rsid w:val="00F539BF"/>
    <w:rsid w:val="00F5610D"/>
    <w:rsid w:val="00F563F8"/>
    <w:rsid w:val="00F60723"/>
    <w:rsid w:val="00F611BC"/>
    <w:rsid w:val="00F628AD"/>
    <w:rsid w:val="00F63BE2"/>
    <w:rsid w:val="00F645FF"/>
    <w:rsid w:val="00F66BFA"/>
    <w:rsid w:val="00F67A93"/>
    <w:rsid w:val="00F71191"/>
    <w:rsid w:val="00F72BBB"/>
    <w:rsid w:val="00F756EB"/>
    <w:rsid w:val="00F762CC"/>
    <w:rsid w:val="00F8386E"/>
    <w:rsid w:val="00F83D9E"/>
    <w:rsid w:val="00F844D4"/>
    <w:rsid w:val="00F86DE9"/>
    <w:rsid w:val="00F87819"/>
    <w:rsid w:val="00F87B14"/>
    <w:rsid w:val="00F91E57"/>
    <w:rsid w:val="00F94183"/>
    <w:rsid w:val="00F96123"/>
    <w:rsid w:val="00FA14BE"/>
    <w:rsid w:val="00FA5A6E"/>
    <w:rsid w:val="00FA7BC6"/>
    <w:rsid w:val="00FB0FDC"/>
    <w:rsid w:val="00FB1852"/>
    <w:rsid w:val="00FB478E"/>
    <w:rsid w:val="00FC0CDB"/>
    <w:rsid w:val="00FD09F1"/>
    <w:rsid w:val="00FD160F"/>
    <w:rsid w:val="00FD1AEC"/>
    <w:rsid w:val="00FD2E26"/>
    <w:rsid w:val="00FD2EA8"/>
    <w:rsid w:val="00FD4568"/>
    <w:rsid w:val="00FD6E87"/>
    <w:rsid w:val="00FE3219"/>
    <w:rsid w:val="00FE3672"/>
    <w:rsid w:val="00FE4073"/>
    <w:rsid w:val="00FE4EAA"/>
    <w:rsid w:val="00FF49AA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E0DD"/>
  <w15:docId w15:val="{7A5618A8-56C5-49D7-A5AA-713FDEFE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E1E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1EE5"/>
    <w:rPr>
      <w:rFonts w:ascii="Calibri" w:hAnsi="Calibri"/>
      <w:noProof/>
      <w:szCs w:val="21"/>
    </w:rPr>
  </w:style>
  <w:style w:type="character" w:styleId="Hyperlink">
    <w:name w:val="Hyperlink"/>
    <w:basedOn w:val="DefaultParagraphFont"/>
    <w:uiPriority w:val="99"/>
    <w:unhideWhenUsed/>
    <w:rsid w:val="00363C4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5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9A8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9A8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A8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FA14BE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hps">
    <w:name w:val="hps"/>
    <w:basedOn w:val="DefaultParagraphFont"/>
    <w:uiPriority w:val="99"/>
    <w:rsid w:val="00C11E60"/>
    <w:rPr>
      <w:rFonts w:cs="Times New Roman"/>
    </w:rPr>
  </w:style>
  <w:style w:type="character" w:customStyle="1" w:styleId="longtext">
    <w:name w:val="long_text"/>
    <w:basedOn w:val="DefaultParagraphFont"/>
    <w:uiPriority w:val="99"/>
    <w:rsid w:val="00C11E60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2D44B3"/>
    <w:rPr>
      <w:b/>
      <w:bCs/>
      <w:i w:val="0"/>
      <w:iCs w:val="0"/>
    </w:rPr>
  </w:style>
  <w:style w:type="character" w:customStyle="1" w:styleId="st1">
    <w:name w:val="st1"/>
    <w:basedOn w:val="DefaultParagraphFont"/>
    <w:rsid w:val="002D44B3"/>
  </w:style>
  <w:style w:type="paragraph" w:styleId="HTMLPreformatted">
    <w:name w:val="HTML Preformatted"/>
    <w:basedOn w:val="Normal"/>
    <w:link w:val="HTMLPreformattedChar"/>
    <w:uiPriority w:val="99"/>
    <w:unhideWhenUsed/>
    <w:rsid w:val="006F4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4347"/>
    <w:rPr>
      <w:rFonts w:ascii="Courier New" w:hAnsi="Courier New" w:cs="Courier New"/>
      <w:sz w:val="20"/>
      <w:szCs w:val="20"/>
      <w:lang w:eastAsia="hr-HR"/>
    </w:rPr>
  </w:style>
  <w:style w:type="paragraph" w:styleId="FootnoteText">
    <w:name w:val="footnote text"/>
    <w:basedOn w:val="Normal"/>
    <w:link w:val="FootnoteTextChar"/>
    <w:uiPriority w:val="99"/>
    <w:rsid w:val="006F4347"/>
    <w:pPr>
      <w:suppressAutoHyphens/>
      <w:spacing w:after="0" w:line="240" w:lineRule="auto"/>
    </w:pPr>
    <w:rPr>
      <w:rFonts w:ascii="Calibri" w:eastAsia="Droid Sans Fallback" w:hAnsi="Calibri" w:cs="Calibri"/>
      <w:sz w:val="20"/>
      <w:szCs w:val="20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4347"/>
    <w:rPr>
      <w:rFonts w:ascii="Calibri" w:eastAsia="Droid Sans Fallback" w:hAnsi="Calibri" w:cs="Calibri"/>
      <w:sz w:val="20"/>
      <w:szCs w:val="20"/>
      <w:lang w:val="x-none" w:eastAsia="zh-CN"/>
    </w:rPr>
  </w:style>
  <w:style w:type="paragraph" w:styleId="NormalWeb">
    <w:name w:val="Normal (Web)"/>
    <w:basedOn w:val="Normal"/>
    <w:uiPriority w:val="99"/>
    <w:unhideWhenUsed/>
    <w:rsid w:val="006F4347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A6770F"/>
  </w:style>
  <w:style w:type="character" w:customStyle="1" w:styleId="gmail-msofootnotereference">
    <w:name w:val="gmail-msofootnotereference"/>
    <w:basedOn w:val="DefaultParagraphFont"/>
    <w:rsid w:val="003E6954"/>
  </w:style>
  <w:style w:type="character" w:styleId="Strong">
    <w:name w:val="Strong"/>
    <w:basedOn w:val="DefaultParagraphFont"/>
    <w:uiPriority w:val="22"/>
    <w:qFormat/>
    <w:rsid w:val="000C3A5E"/>
    <w:rPr>
      <w:b/>
      <w:bCs/>
    </w:rPr>
  </w:style>
  <w:style w:type="paragraph" w:customStyle="1" w:styleId="gmail-msocommenttext">
    <w:name w:val="gmail-msocommenttext"/>
    <w:basedOn w:val="Normal"/>
    <w:rsid w:val="005839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Bez">
    <w:name w:val="Bez"/>
    <w:rsid w:val="008325C6"/>
  </w:style>
  <w:style w:type="character" w:styleId="FollowedHyperlink">
    <w:name w:val="FollowedHyperlink"/>
    <w:basedOn w:val="DefaultParagraphFont"/>
    <w:uiPriority w:val="99"/>
    <w:semiHidden/>
    <w:unhideWhenUsed/>
    <w:rsid w:val="00AA18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095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1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83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54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72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18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7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599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09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438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F737B-C4E1-44D1-BE2E-DF8C2299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3040</Words>
  <Characters>17333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Ludvig</dc:creator>
  <cp:keywords/>
  <cp:lastModifiedBy>Iva Marić</cp:lastModifiedBy>
  <cp:revision>3</cp:revision>
  <cp:lastPrinted>2018-02-01T08:50:00Z</cp:lastPrinted>
  <dcterms:created xsi:type="dcterms:W3CDTF">2018-02-13T14:07:00Z</dcterms:created>
  <dcterms:modified xsi:type="dcterms:W3CDTF">2018-02-13T14:08:00Z</dcterms:modified>
</cp:coreProperties>
</file>