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C37E9" w14:textId="3D96CEE0" w:rsidR="0016404E" w:rsidRPr="006770C1" w:rsidRDefault="0016404E">
      <w:pPr>
        <w:rPr>
          <w:b/>
        </w:rPr>
      </w:pPr>
      <w:r w:rsidRPr="006770C1">
        <w:rPr>
          <w:b/>
        </w:rPr>
        <w:t xml:space="preserve">Pitanja </w:t>
      </w:r>
      <w:r w:rsidR="00C0716C">
        <w:rPr>
          <w:b/>
        </w:rPr>
        <w:t>postavljena na radionici u okviru Poziva</w:t>
      </w:r>
      <w:r w:rsidRPr="006770C1">
        <w:rPr>
          <w:b/>
        </w:rPr>
        <w:t xml:space="preserve"> „</w:t>
      </w:r>
      <w:r w:rsidR="009A0166">
        <w:rPr>
          <w:b/>
        </w:rPr>
        <w:t xml:space="preserve">Kultura u centru – potpora razvoju javno-civilnog partnerstva u kulturi“, </w:t>
      </w:r>
      <w:r w:rsidR="00C70D22">
        <w:rPr>
          <w:b/>
        </w:rPr>
        <w:t>Zagreb</w:t>
      </w:r>
      <w:r w:rsidR="00C0716C">
        <w:rPr>
          <w:b/>
        </w:rPr>
        <w:t xml:space="preserve">, </w:t>
      </w:r>
      <w:r w:rsidR="00C70D22">
        <w:rPr>
          <w:b/>
        </w:rPr>
        <w:t>17</w:t>
      </w:r>
      <w:r w:rsidR="00C0716C">
        <w:rPr>
          <w:b/>
        </w:rPr>
        <w:t>. siječnja 2018.</w:t>
      </w:r>
    </w:p>
    <w:tbl>
      <w:tblPr>
        <w:tblStyle w:val="TableGrid"/>
        <w:tblW w:w="9493" w:type="dxa"/>
        <w:tblLayout w:type="fixed"/>
        <w:tblLook w:val="04A0" w:firstRow="1" w:lastRow="0" w:firstColumn="1" w:lastColumn="0" w:noHBand="0" w:noVBand="1"/>
      </w:tblPr>
      <w:tblGrid>
        <w:gridCol w:w="562"/>
        <w:gridCol w:w="3828"/>
        <w:gridCol w:w="5103"/>
      </w:tblGrid>
      <w:tr w:rsidR="00DD00F0" w:rsidRPr="001554C4" w14:paraId="1A380D53" w14:textId="77777777" w:rsidTr="00DD00F0">
        <w:trPr>
          <w:trHeight w:val="346"/>
        </w:trPr>
        <w:tc>
          <w:tcPr>
            <w:tcW w:w="562" w:type="dxa"/>
            <w:shd w:val="pct15" w:color="auto" w:fill="auto"/>
          </w:tcPr>
          <w:p w14:paraId="2A7EC7A5" w14:textId="77777777" w:rsidR="00DD00F0" w:rsidRPr="00984B3A" w:rsidRDefault="00DD00F0" w:rsidP="002C76AA">
            <w:pPr>
              <w:rPr>
                <w:rFonts w:cstheme="minorHAnsi"/>
                <w:b/>
              </w:rPr>
            </w:pPr>
            <w:r>
              <w:rPr>
                <w:rFonts w:cstheme="minorHAnsi"/>
                <w:b/>
              </w:rPr>
              <w:t>Br.</w:t>
            </w:r>
          </w:p>
        </w:tc>
        <w:tc>
          <w:tcPr>
            <w:tcW w:w="3828" w:type="dxa"/>
            <w:shd w:val="pct15" w:color="auto" w:fill="auto"/>
          </w:tcPr>
          <w:p w14:paraId="7DF65FF8" w14:textId="77777777" w:rsidR="00DD00F0" w:rsidRPr="00984B3A" w:rsidRDefault="00DD00F0" w:rsidP="002C76AA">
            <w:pPr>
              <w:rPr>
                <w:b/>
                <w:lang w:val="en-US"/>
              </w:rPr>
            </w:pPr>
            <w:r w:rsidRPr="00984B3A">
              <w:rPr>
                <w:b/>
                <w:lang w:val="en-US"/>
              </w:rPr>
              <w:t>PITANJE</w:t>
            </w:r>
          </w:p>
        </w:tc>
        <w:tc>
          <w:tcPr>
            <w:tcW w:w="5103" w:type="dxa"/>
            <w:shd w:val="pct15" w:color="auto" w:fill="auto"/>
          </w:tcPr>
          <w:p w14:paraId="6FCCADE5" w14:textId="77777777" w:rsidR="00DD00F0" w:rsidRPr="00984B3A" w:rsidRDefault="00DD00F0" w:rsidP="002C76AA">
            <w:pPr>
              <w:pStyle w:val="FootnoteText"/>
              <w:rPr>
                <w:rFonts w:asciiTheme="minorHAnsi" w:eastAsiaTheme="minorHAnsi" w:hAnsiTheme="minorHAnsi" w:cstheme="minorBidi"/>
                <w:b/>
                <w:sz w:val="22"/>
                <w:szCs w:val="22"/>
                <w:lang w:val="hr-HR" w:eastAsia="en-US"/>
              </w:rPr>
            </w:pPr>
            <w:r w:rsidRPr="00984B3A">
              <w:rPr>
                <w:rFonts w:asciiTheme="minorHAnsi" w:eastAsiaTheme="minorHAnsi" w:hAnsiTheme="minorHAnsi" w:cstheme="minorBidi"/>
                <w:b/>
                <w:sz w:val="22"/>
                <w:szCs w:val="22"/>
                <w:lang w:val="hr-HR" w:eastAsia="en-US"/>
              </w:rPr>
              <w:t>ODGOVOR</w:t>
            </w:r>
          </w:p>
        </w:tc>
      </w:tr>
      <w:tr w:rsidR="00DD00F0" w:rsidRPr="004D0E1C" w14:paraId="79B52B6B" w14:textId="77777777" w:rsidTr="00DD00F0">
        <w:tc>
          <w:tcPr>
            <w:tcW w:w="562" w:type="dxa"/>
          </w:tcPr>
          <w:p w14:paraId="7363E89D" w14:textId="77777777" w:rsidR="00DD00F0" w:rsidRPr="00070AC9" w:rsidRDefault="00DD00F0" w:rsidP="002C76AA">
            <w:pPr>
              <w:rPr>
                <w:rFonts w:cstheme="minorHAnsi"/>
                <w:highlight w:val="yellow"/>
              </w:rPr>
            </w:pPr>
            <w:r w:rsidRPr="001554C4">
              <w:rPr>
                <w:rFonts w:cstheme="minorHAnsi"/>
              </w:rPr>
              <w:t>1</w:t>
            </w:r>
          </w:p>
        </w:tc>
        <w:tc>
          <w:tcPr>
            <w:tcW w:w="3828" w:type="dxa"/>
          </w:tcPr>
          <w:p w14:paraId="0053A3F7" w14:textId="3DFE43BD" w:rsidR="00DD00F0" w:rsidRPr="009D09CE" w:rsidRDefault="00DD00F0" w:rsidP="003D2D3E">
            <w:r>
              <w:t>U skupini aktivnosti A, u okviru kojeg elementa se navodi adaptacija (u smislu troškova i opisno)? U okviru Elementa 3?</w:t>
            </w:r>
          </w:p>
        </w:tc>
        <w:tc>
          <w:tcPr>
            <w:tcW w:w="5103" w:type="dxa"/>
          </w:tcPr>
          <w:p w14:paraId="23C5E37E" w14:textId="48B885FD" w:rsidR="00DD00F0" w:rsidRPr="00334E3B" w:rsidRDefault="00DD00F0" w:rsidP="00377A5D">
            <w:pPr>
              <w:rPr>
                <w:bCs/>
              </w:rPr>
            </w:pPr>
            <w:r>
              <w:rPr>
                <w:bCs/>
              </w:rPr>
              <w:t xml:space="preserve">Troškovi adaptacije, kao i obrazloženje povezanosti navedenih troškova s projektnim aktivnostima i ciljevima projektnog prijedloga i Poziva, mogu se navesti u okviru Elementa 3, a mogu se uvrstiti u projektni prijedlog kao poseban element, ili pridružiti nekom drugom elementu. </w:t>
            </w:r>
            <w:r w:rsidRPr="004047C3">
              <w:rPr>
                <w:bCs/>
              </w:rPr>
              <w:t xml:space="preserve">Napominjemo da elementi navedeni pod točkom 3.3 </w:t>
            </w:r>
            <w:r w:rsidRPr="004047C3">
              <w:rPr>
                <w:bCs/>
                <w:i/>
              </w:rPr>
              <w:t>Prihvatljive aktivnosti</w:t>
            </w:r>
            <w:r w:rsidRPr="004047C3">
              <w:rPr>
                <w:bCs/>
              </w:rPr>
              <w:t xml:space="preserve"> Uputa za prijavitelje </w:t>
            </w:r>
            <w:r>
              <w:rPr>
                <w:bCs/>
              </w:rPr>
              <w:t>predstavljaju</w:t>
            </w:r>
            <w:r w:rsidRPr="004047C3">
              <w:rPr>
                <w:bCs/>
              </w:rPr>
              <w:t xml:space="preserve"> </w:t>
            </w:r>
            <w:r w:rsidRPr="004047C3">
              <w:rPr>
                <w:bCs/>
                <w:u w:val="single"/>
              </w:rPr>
              <w:t>minimalan</w:t>
            </w:r>
            <w:r w:rsidRPr="004047C3">
              <w:rPr>
                <w:bCs/>
              </w:rPr>
              <w:t xml:space="preserve"> broj elemenata koje projektni prijedlog mora sadržavati te da broj elemenata u prijavnom obrascu A nije ograničen.</w:t>
            </w:r>
            <w:r>
              <w:rPr>
                <w:bCs/>
              </w:rPr>
              <w:t xml:space="preserve"> Prijavitelj sam utvrđuje broj i raspored elemenata ovisno</w:t>
            </w:r>
            <w:r w:rsidRPr="004047C3">
              <w:rPr>
                <w:bCs/>
              </w:rPr>
              <w:t xml:space="preserve"> o strukturi i intervencijskoj logici projektnog prijedloga te formatu, konceptu i sadržaju projektnih aktivnosti.</w:t>
            </w:r>
          </w:p>
        </w:tc>
      </w:tr>
      <w:tr w:rsidR="00DD00F0" w:rsidRPr="004D0E1C" w14:paraId="165E161E" w14:textId="77777777" w:rsidTr="00DD00F0">
        <w:trPr>
          <w:trHeight w:val="218"/>
        </w:trPr>
        <w:tc>
          <w:tcPr>
            <w:tcW w:w="562" w:type="dxa"/>
          </w:tcPr>
          <w:p w14:paraId="364F9D82" w14:textId="77777777" w:rsidR="00DD00F0" w:rsidRDefault="00DD00F0" w:rsidP="00D33FD9">
            <w:pPr>
              <w:rPr>
                <w:rFonts w:cstheme="minorHAnsi"/>
              </w:rPr>
            </w:pPr>
            <w:r w:rsidRPr="001554C4">
              <w:rPr>
                <w:rFonts w:cstheme="minorHAnsi"/>
              </w:rPr>
              <w:t>2</w:t>
            </w:r>
          </w:p>
        </w:tc>
        <w:tc>
          <w:tcPr>
            <w:tcW w:w="3828" w:type="dxa"/>
          </w:tcPr>
          <w:p w14:paraId="1838032A" w14:textId="1165629F" w:rsidR="00DD00F0" w:rsidRPr="00572605" w:rsidRDefault="00DD00F0" w:rsidP="000510D3">
            <w:pPr>
              <w:spacing w:after="240"/>
            </w:pPr>
            <w:r>
              <w:t>U slučaju kada je vlasnik prostora javna ustanova u kulturi čiji je osnivač jedinica lokalne samouprave, je li prihvatljiv trošak adaptacije navedenog prostora?</w:t>
            </w:r>
          </w:p>
        </w:tc>
        <w:tc>
          <w:tcPr>
            <w:tcW w:w="5103" w:type="dxa"/>
          </w:tcPr>
          <w:p w14:paraId="6E679222" w14:textId="4FC8C99C" w:rsidR="00DD00F0" w:rsidRPr="008325C6" w:rsidRDefault="00DD00F0" w:rsidP="00A47E87">
            <w:r>
              <w:t xml:space="preserve">Ne. Troškovi adaptacije prihvatljivi su jedino </w:t>
            </w:r>
            <w:r w:rsidRPr="00A2721F">
              <w:t>pod uvjetom da se odnose na prostor koji je u vlasništvu jedinice lokalne ili područne (regionalne) samouprave koja je prijavitelj ili partner na projektu</w:t>
            </w:r>
            <w:r>
              <w:t xml:space="preserve">. Nadalje, prihvatljivi su troškovi adaptacije koja se odnosi isključivo na </w:t>
            </w:r>
            <w:r w:rsidRPr="00C22626">
              <w:t>pros</w:t>
            </w:r>
            <w:r>
              <w:t>tor</w:t>
            </w:r>
            <w:r w:rsidRPr="00C22626">
              <w:t xml:space="preserve"> društveno-kulturnih centara u kojima se provode pro</w:t>
            </w:r>
            <w:r>
              <w:t>jektne aktivnosti, odnosno javnu infrastrukturu</w:t>
            </w:r>
            <w:r w:rsidRPr="00C22626">
              <w:t xml:space="preserve"> na koju se odnosi izrada modela sudioničkog upravljanja/u kojoj se implementira model sudioničkog upravljanja</w:t>
            </w:r>
            <w:r>
              <w:t>.</w:t>
            </w:r>
          </w:p>
        </w:tc>
      </w:tr>
      <w:tr w:rsidR="00DD00F0" w:rsidRPr="004D0E1C" w14:paraId="2737D195" w14:textId="77777777" w:rsidTr="00DD00F0">
        <w:tc>
          <w:tcPr>
            <w:tcW w:w="562" w:type="dxa"/>
          </w:tcPr>
          <w:p w14:paraId="328348CD" w14:textId="66C5C940" w:rsidR="00DD00F0" w:rsidRPr="0071044F" w:rsidRDefault="00DD00F0" w:rsidP="00D33FD9">
            <w:pPr>
              <w:rPr>
                <w:rFonts w:cstheme="minorHAnsi"/>
              </w:rPr>
            </w:pPr>
            <w:r w:rsidRPr="0071044F">
              <w:rPr>
                <w:rFonts w:cstheme="minorHAnsi"/>
              </w:rPr>
              <w:t>3</w:t>
            </w:r>
          </w:p>
        </w:tc>
        <w:tc>
          <w:tcPr>
            <w:tcW w:w="3828" w:type="dxa"/>
          </w:tcPr>
          <w:p w14:paraId="62D64FA6" w14:textId="69F9175F" w:rsidR="00DD00F0" w:rsidRPr="00A94AB2" w:rsidRDefault="00DD00F0" w:rsidP="00067B5E">
            <w:r>
              <w:t>U skupini aktivnosti B je obavezno partnerstvo koje čini najmanje 5 pravnih osoba (prijavitelj i 4 partnera), a u skupini aktivnosti A, najmanje 3 pravne osobe (prijavitelj i 2 partnera). Je li to točno? Radi se o partnerstvu u kojoj bi prijavitelj bio udruga.</w:t>
            </w:r>
          </w:p>
        </w:tc>
        <w:tc>
          <w:tcPr>
            <w:tcW w:w="5103" w:type="dxa"/>
          </w:tcPr>
          <w:p w14:paraId="5E875DC9" w14:textId="6D9DE75C" w:rsidR="00DD00F0" w:rsidRPr="003A6708" w:rsidRDefault="00DD00F0" w:rsidP="00292E86">
            <w:r w:rsidRPr="003A6708">
              <w:t xml:space="preserve">U okviru skupine aktivnosti B, u projektno partnerstvo mora biti uključeno najmanje pet pravnih osoba (prijavitelj i četiri partnera), sukladno uvjetima navedenim u točki 2.1 </w:t>
            </w:r>
            <w:r w:rsidRPr="003A6708">
              <w:rPr>
                <w:i/>
              </w:rPr>
              <w:t xml:space="preserve">Prijavitelji i partneri </w:t>
            </w:r>
            <w:r w:rsidRPr="003A6708">
              <w:t xml:space="preserve">Uputa za prijavitelje. </w:t>
            </w:r>
          </w:p>
          <w:p w14:paraId="69B276BE" w14:textId="77777777" w:rsidR="00DD00F0" w:rsidRPr="003A6708" w:rsidRDefault="00DD00F0" w:rsidP="00292E86"/>
          <w:p w14:paraId="2314BCDB" w14:textId="76700E55" w:rsidR="00DD00F0" w:rsidRPr="003A6708" w:rsidRDefault="00DD00F0" w:rsidP="00292E86">
            <w:r w:rsidRPr="003A6708">
              <w:t xml:space="preserve">U okviru skupine aktivnosti A, u slučaju da je prijavitelj udruga u području kulture i umjetnosti, obavezno je partnerstvo: </w:t>
            </w:r>
          </w:p>
          <w:p w14:paraId="7811DEAF" w14:textId="5DC1B167" w:rsidR="00DD00F0" w:rsidRPr="003A6708" w:rsidRDefault="00DD00F0" w:rsidP="003A6708">
            <w:pPr>
              <w:pStyle w:val="ListParagraph"/>
              <w:numPr>
                <w:ilvl w:val="0"/>
                <w:numId w:val="10"/>
              </w:numPr>
            </w:pPr>
            <w:r w:rsidRPr="003A6708">
              <w:t>s jedinicom lokalne ili područne (regionalne) samouprave te s najmanje još dvije udruge ili umjetničke organizacije</w:t>
            </w:r>
          </w:p>
          <w:p w14:paraId="3FEECAD5" w14:textId="77777777" w:rsidR="00DD00F0" w:rsidRPr="003A6708" w:rsidRDefault="00DD00F0" w:rsidP="00292E86">
            <w:r w:rsidRPr="003A6708">
              <w:t xml:space="preserve">ili </w:t>
            </w:r>
          </w:p>
          <w:p w14:paraId="1389C42E" w14:textId="12FAB91C" w:rsidR="00DD00F0" w:rsidRPr="007F159A" w:rsidRDefault="00DD00F0" w:rsidP="003A6708">
            <w:pPr>
              <w:pStyle w:val="ListParagraph"/>
              <w:numPr>
                <w:ilvl w:val="0"/>
                <w:numId w:val="10"/>
              </w:numPr>
            </w:pPr>
            <w:r w:rsidRPr="003A6708">
              <w:t>s jedinicom lokalne ili područne samouprave i savezom udruga.</w:t>
            </w:r>
            <w:r>
              <w:t xml:space="preserve"> </w:t>
            </w:r>
          </w:p>
        </w:tc>
      </w:tr>
      <w:tr w:rsidR="00DD00F0" w:rsidRPr="004D0E1C" w14:paraId="533E2FED" w14:textId="77777777" w:rsidTr="00DD00F0">
        <w:tc>
          <w:tcPr>
            <w:tcW w:w="562" w:type="dxa"/>
          </w:tcPr>
          <w:p w14:paraId="237015CD" w14:textId="5DEACD26" w:rsidR="00DD00F0" w:rsidRPr="0071044F" w:rsidRDefault="00DD00F0" w:rsidP="002C76AA">
            <w:pPr>
              <w:rPr>
                <w:rFonts w:cstheme="minorHAnsi"/>
              </w:rPr>
            </w:pPr>
            <w:r w:rsidRPr="0071044F">
              <w:rPr>
                <w:rFonts w:cstheme="minorHAnsi"/>
              </w:rPr>
              <w:t>4</w:t>
            </w:r>
          </w:p>
        </w:tc>
        <w:tc>
          <w:tcPr>
            <w:tcW w:w="3828" w:type="dxa"/>
          </w:tcPr>
          <w:p w14:paraId="1345E475" w14:textId="7C49FCA4" w:rsidR="00DD00F0" w:rsidRPr="007E5ABB" w:rsidRDefault="00DD00F0" w:rsidP="000510D3">
            <w:r>
              <w:t>Spomenuto je da su prihvatljivi partneri javne ustanove u kulturi. Može li to biti ustanova poput pučkih otvorenih učilišta, škola ili turističkih zajednica?</w:t>
            </w:r>
          </w:p>
        </w:tc>
        <w:tc>
          <w:tcPr>
            <w:tcW w:w="5103" w:type="dxa"/>
          </w:tcPr>
          <w:p w14:paraId="1052FDBF" w14:textId="6B487F49" w:rsidR="00DD00F0" w:rsidRDefault="00DD00F0" w:rsidP="009E642D">
            <w:pPr>
              <w:pStyle w:val="FootnoteText"/>
              <w:rPr>
                <w:rFonts w:asciiTheme="minorHAnsi" w:eastAsiaTheme="minorHAnsi" w:hAnsiTheme="minorHAnsi" w:cstheme="minorBidi"/>
                <w:sz w:val="22"/>
                <w:szCs w:val="22"/>
                <w:lang w:val="hr-HR" w:eastAsia="en-US"/>
              </w:rPr>
            </w:pPr>
            <w:r>
              <w:rPr>
                <w:rFonts w:asciiTheme="minorHAnsi" w:eastAsiaTheme="minorHAnsi" w:hAnsiTheme="minorHAnsi" w:cstheme="minorBidi"/>
                <w:sz w:val="22"/>
                <w:szCs w:val="22"/>
                <w:lang w:val="hr-HR" w:eastAsia="en-US"/>
              </w:rPr>
              <w:t xml:space="preserve">U okviru ovog Poziva prihvatljivi su partneri u obje skupine aktivnosti, te prijavitelji u skupini aktivnosti B, samo one </w:t>
            </w:r>
            <w:r w:rsidRPr="00764DF5">
              <w:rPr>
                <w:rFonts w:asciiTheme="minorHAnsi" w:eastAsiaTheme="minorHAnsi" w:hAnsiTheme="minorHAnsi" w:cstheme="minorBidi"/>
                <w:b/>
                <w:sz w:val="22"/>
                <w:szCs w:val="22"/>
                <w:lang w:val="hr-HR" w:eastAsia="en-US"/>
              </w:rPr>
              <w:t xml:space="preserve">javne ustanove u kulturi kojima je osnivač jedinica lokalne ili područne (regionalne) </w:t>
            </w:r>
            <w:r w:rsidRPr="00764DF5">
              <w:rPr>
                <w:rFonts w:asciiTheme="minorHAnsi" w:eastAsiaTheme="minorHAnsi" w:hAnsiTheme="minorHAnsi" w:cstheme="minorBidi"/>
                <w:b/>
                <w:sz w:val="22"/>
                <w:szCs w:val="22"/>
                <w:lang w:val="hr-HR" w:eastAsia="en-US"/>
              </w:rPr>
              <w:lastRenderedPageBreak/>
              <w:t>samouprave.</w:t>
            </w:r>
            <w:r>
              <w:rPr>
                <w:rFonts w:asciiTheme="minorHAnsi" w:eastAsiaTheme="minorHAnsi" w:hAnsiTheme="minorHAnsi" w:cstheme="minorBidi"/>
                <w:sz w:val="22"/>
                <w:szCs w:val="22"/>
                <w:lang w:val="hr-HR" w:eastAsia="en-US"/>
              </w:rPr>
              <w:t xml:space="preserve"> Pučka otvorena učilišta, prema članku 1. Zakona o pučkim otvorenim učilištima (NN 54/97, 5/98, 109/99, 139/10) su „</w:t>
            </w:r>
            <w:r w:rsidRPr="00B06F04">
              <w:rPr>
                <w:rFonts w:asciiTheme="minorHAnsi" w:eastAsiaTheme="minorHAnsi" w:hAnsiTheme="minorHAnsi" w:cstheme="minorBidi"/>
                <w:sz w:val="22"/>
                <w:szCs w:val="22"/>
                <w:lang w:val="hr-HR" w:eastAsia="en-US"/>
              </w:rPr>
              <w:t>javne ustanove za trajnu naobrazbu i kulturu</w:t>
            </w:r>
            <w:r>
              <w:rPr>
                <w:rFonts w:asciiTheme="minorHAnsi" w:eastAsiaTheme="minorHAnsi" w:hAnsiTheme="minorHAnsi" w:cstheme="minorBidi"/>
                <w:sz w:val="22"/>
                <w:szCs w:val="22"/>
                <w:lang w:val="hr-HR" w:eastAsia="en-US"/>
              </w:rPr>
              <w:t xml:space="preserve">“, stoga se smatraju ustanovama u kulturi. Dakle, u slučaju kada je pučkom otvorenom učilištu osnivač jedinica lokalne ili područne (regionalne) samouprave te kada ispunjava sve uvjete navedene u točki </w:t>
            </w:r>
            <w:r w:rsidRPr="003126AC">
              <w:rPr>
                <w:rFonts w:asciiTheme="minorHAnsi" w:eastAsiaTheme="minorHAnsi" w:hAnsiTheme="minorHAnsi" w:cstheme="minorBidi"/>
                <w:sz w:val="22"/>
                <w:szCs w:val="22"/>
                <w:lang w:val="hr-HR" w:eastAsia="en-US"/>
              </w:rPr>
              <w:t xml:space="preserve">2.2 </w:t>
            </w:r>
            <w:r w:rsidRPr="003126AC">
              <w:rPr>
                <w:rFonts w:asciiTheme="minorHAnsi" w:eastAsiaTheme="minorHAnsi" w:hAnsiTheme="minorHAnsi" w:cstheme="minorBidi"/>
                <w:i/>
                <w:sz w:val="22"/>
                <w:szCs w:val="22"/>
                <w:lang w:val="hr-HR" w:eastAsia="en-US"/>
              </w:rPr>
              <w:t xml:space="preserve">Uvjeti prihvatljivosti prijavitelja/ partnera </w:t>
            </w:r>
            <w:r>
              <w:rPr>
                <w:rFonts w:asciiTheme="minorHAnsi" w:eastAsiaTheme="minorHAnsi" w:hAnsiTheme="minorHAnsi" w:cstheme="minorBidi"/>
                <w:sz w:val="22"/>
                <w:szCs w:val="22"/>
                <w:lang w:val="hr-HR" w:eastAsia="en-US"/>
              </w:rPr>
              <w:t xml:space="preserve">Uputa za prijavitelje, ono je prihvatljiv partner u okviru obje skupine aktivnosti, odnosno prihvatljiv prijavitelj u skupini aktivnosti B. </w:t>
            </w:r>
          </w:p>
          <w:p w14:paraId="2DEF5FE2" w14:textId="5ADD314C" w:rsidR="00DD00F0" w:rsidRPr="00107E41" w:rsidRDefault="00DD00F0" w:rsidP="009E642D">
            <w:pPr>
              <w:pStyle w:val="FootnoteText"/>
              <w:rPr>
                <w:rFonts w:asciiTheme="minorHAnsi" w:eastAsiaTheme="minorHAnsi" w:hAnsiTheme="minorHAnsi" w:cstheme="minorBidi"/>
                <w:sz w:val="22"/>
                <w:szCs w:val="22"/>
                <w:lang w:val="hr-HR" w:eastAsia="en-US"/>
              </w:rPr>
            </w:pPr>
            <w:r w:rsidRPr="00904A9B">
              <w:rPr>
                <w:rFonts w:asciiTheme="minorHAnsi" w:eastAsiaTheme="minorHAnsi" w:hAnsiTheme="minorHAnsi" w:cstheme="minorBidi"/>
                <w:sz w:val="22"/>
                <w:szCs w:val="22"/>
                <w:lang w:val="hr-HR" w:eastAsia="en-US"/>
              </w:rPr>
              <w:t xml:space="preserve">Sukladno točki 2.1 </w:t>
            </w:r>
            <w:r w:rsidRPr="00904A9B">
              <w:rPr>
                <w:rFonts w:asciiTheme="minorHAnsi" w:eastAsiaTheme="minorHAnsi" w:hAnsiTheme="minorHAnsi" w:cstheme="minorBidi"/>
                <w:i/>
                <w:sz w:val="22"/>
                <w:szCs w:val="22"/>
                <w:lang w:val="hr-HR" w:eastAsia="en-US"/>
              </w:rPr>
              <w:t>Prijavitelj i partneri</w:t>
            </w:r>
            <w:r w:rsidRPr="00904A9B">
              <w:rPr>
                <w:rFonts w:asciiTheme="minorHAnsi" w:eastAsiaTheme="minorHAnsi" w:hAnsiTheme="minorHAnsi" w:cstheme="minorBidi"/>
                <w:sz w:val="22"/>
                <w:szCs w:val="22"/>
                <w:lang w:val="hr-HR" w:eastAsia="en-US"/>
              </w:rPr>
              <w:t xml:space="preserve"> Uputa za prijavitelje</w:t>
            </w:r>
            <w:r>
              <w:rPr>
                <w:rFonts w:asciiTheme="minorHAnsi" w:eastAsiaTheme="minorHAnsi" w:hAnsiTheme="minorHAnsi" w:cstheme="minorBidi"/>
                <w:sz w:val="22"/>
                <w:szCs w:val="22"/>
                <w:lang w:val="hr-HR" w:eastAsia="en-US"/>
              </w:rPr>
              <w:t>, škole i turističke zajednice</w:t>
            </w:r>
            <w:r w:rsidRPr="006E2FC8">
              <w:rPr>
                <w:rFonts w:asciiTheme="minorHAnsi" w:eastAsiaTheme="minorHAnsi" w:hAnsiTheme="minorHAnsi" w:cstheme="minorBidi"/>
                <w:sz w:val="22"/>
                <w:szCs w:val="22"/>
                <w:lang w:val="hr-HR" w:eastAsia="en-US"/>
              </w:rPr>
              <w:t xml:space="preserve"> </w:t>
            </w:r>
            <w:r w:rsidRPr="00904A9B">
              <w:rPr>
                <w:rFonts w:asciiTheme="minorHAnsi" w:eastAsiaTheme="minorHAnsi" w:hAnsiTheme="minorHAnsi" w:cstheme="minorBidi"/>
                <w:sz w:val="22"/>
                <w:szCs w:val="22"/>
                <w:lang w:val="hr-HR" w:eastAsia="en-US"/>
              </w:rPr>
              <w:t>nisu prihvatljivi partneri u okviru ovog Poziva.</w:t>
            </w:r>
          </w:p>
        </w:tc>
      </w:tr>
      <w:tr w:rsidR="00DD00F0" w:rsidRPr="004D0E1C" w14:paraId="495BACF7" w14:textId="77777777" w:rsidTr="00DD00F0">
        <w:tc>
          <w:tcPr>
            <w:tcW w:w="562" w:type="dxa"/>
          </w:tcPr>
          <w:p w14:paraId="13C1743D" w14:textId="77777777" w:rsidR="00DD00F0" w:rsidRDefault="00DD00F0" w:rsidP="002C76AA">
            <w:pPr>
              <w:rPr>
                <w:rFonts w:cstheme="minorHAnsi"/>
              </w:rPr>
            </w:pPr>
            <w:r w:rsidRPr="001554C4">
              <w:rPr>
                <w:rFonts w:cstheme="minorHAnsi"/>
              </w:rPr>
              <w:lastRenderedPageBreak/>
              <w:t>5</w:t>
            </w:r>
          </w:p>
        </w:tc>
        <w:tc>
          <w:tcPr>
            <w:tcW w:w="3828" w:type="dxa"/>
          </w:tcPr>
          <w:p w14:paraId="401DB949" w14:textId="7727F524" w:rsidR="00DD00F0" w:rsidRPr="007E5ABB" w:rsidRDefault="00DD00F0" w:rsidP="00252FDF">
            <w:pPr>
              <w:shd w:val="clear" w:color="auto" w:fill="FFFFFF"/>
            </w:pPr>
            <w:r>
              <w:t>Jesu li u</w:t>
            </w:r>
            <w:r w:rsidRPr="006E2FC8">
              <w:t xml:space="preserve"> okviru skupine aktivnosti B prihvatljivi troškovi </w:t>
            </w:r>
            <w:r>
              <w:t>nabave opreme?</w:t>
            </w:r>
          </w:p>
        </w:tc>
        <w:tc>
          <w:tcPr>
            <w:tcW w:w="5103" w:type="dxa"/>
          </w:tcPr>
          <w:p w14:paraId="4F59F6BE" w14:textId="52AFE3B6" w:rsidR="00DD00F0" w:rsidRPr="0060241F" w:rsidRDefault="00DD00F0" w:rsidP="00291BD5">
            <w:r w:rsidRPr="006E2FC8">
              <w:t>Da. Trošak nabave opreme je prihvatljiv trošak u okviru skupine aktivnosti B</w:t>
            </w:r>
            <w:r>
              <w:t>,</w:t>
            </w:r>
            <w:r w:rsidRPr="006E2FC8">
              <w:t xml:space="preserve"> i može iznositi najviše 30% vrijednosti projekta. Napominjemo da su takvi troškovi prihvatljivi jedino ukoliko su jasno povezani s projektnim aktivnostima, </w:t>
            </w:r>
            <w:r>
              <w:t xml:space="preserve">nužni za njihovu provedbu </w:t>
            </w:r>
            <w:r w:rsidRPr="006E2FC8">
              <w:t>odnosno ukoliko doprin</w:t>
            </w:r>
            <w:r>
              <w:t>ose ostvarenju ciljeva projekta i Poziva.</w:t>
            </w:r>
          </w:p>
        </w:tc>
      </w:tr>
      <w:tr w:rsidR="00DD00F0" w:rsidRPr="004D0E1C" w14:paraId="5414D5CC" w14:textId="77777777" w:rsidTr="00DD00F0">
        <w:tc>
          <w:tcPr>
            <w:tcW w:w="562" w:type="dxa"/>
          </w:tcPr>
          <w:p w14:paraId="5D0766AE" w14:textId="77777777" w:rsidR="00DD00F0" w:rsidRDefault="00DD00F0" w:rsidP="002C76AA">
            <w:pPr>
              <w:rPr>
                <w:rFonts w:cstheme="minorHAnsi"/>
              </w:rPr>
            </w:pPr>
            <w:r w:rsidRPr="001554C4">
              <w:rPr>
                <w:rFonts w:cstheme="minorHAnsi"/>
              </w:rPr>
              <w:t>6</w:t>
            </w:r>
          </w:p>
        </w:tc>
        <w:tc>
          <w:tcPr>
            <w:tcW w:w="3828" w:type="dxa"/>
          </w:tcPr>
          <w:p w14:paraId="51CCDEEF" w14:textId="47CC65A4" w:rsidR="00DD00F0" w:rsidRPr="00885711" w:rsidRDefault="00DD00F0" w:rsidP="0049260D">
            <w:r>
              <w:t>Spada li trošak izrade ili nabave software-a u „</w:t>
            </w:r>
            <w:r w:rsidRPr="006E2FC8">
              <w:t>usluge s područja informacijsko-komunikacijske tehnologije</w:t>
            </w:r>
            <w:r>
              <w:t xml:space="preserve">“, navedene kao prihvatljiv trošak u točki </w:t>
            </w:r>
            <w:r w:rsidRPr="006E2FC8">
              <w:t xml:space="preserve">4.1.1 </w:t>
            </w:r>
            <w:r w:rsidRPr="006E2FC8">
              <w:rPr>
                <w:i/>
              </w:rPr>
              <w:t>Prihvatljivi izdaci</w:t>
            </w:r>
            <w:r>
              <w:t xml:space="preserve"> Uputa za prijavitelje?</w:t>
            </w:r>
          </w:p>
        </w:tc>
        <w:tc>
          <w:tcPr>
            <w:tcW w:w="5103" w:type="dxa"/>
          </w:tcPr>
          <w:p w14:paraId="3B916678" w14:textId="40BF9981" w:rsidR="00DD00F0" w:rsidRPr="00C23210" w:rsidRDefault="00DD00F0" w:rsidP="00C36014">
            <w:pPr>
              <w:pStyle w:val="FootnoteText"/>
              <w:rPr>
                <w:rFonts w:asciiTheme="minorHAnsi" w:eastAsiaTheme="minorHAnsi" w:hAnsiTheme="minorHAnsi" w:cstheme="minorBidi"/>
                <w:sz w:val="22"/>
                <w:szCs w:val="22"/>
                <w:lang w:val="hr-HR" w:eastAsia="en-US"/>
              </w:rPr>
            </w:pPr>
            <w:r>
              <w:rPr>
                <w:rFonts w:asciiTheme="minorHAnsi" w:eastAsiaTheme="minorHAnsi" w:hAnsiTheme="minorHAnsi" w:cstheme="minorBidi"/>
                <w:sz w:val="22"/>
                <w:szCs w:val="22"/>
                <w:lang w:val="hr-HR" w:eastAsia="en-US"/>
              </w:rPr>
              <w:t>Trošak usluge izrade software-a pripada navedenoj kategoriji troška. Međutim, trošak nabave software-a spada pod trošak „</w:t>
            </w:r>
            <w:r w:rsidRPr="0049260D">
              <w:rPr>
                <w:rFonts w:asciiTheme="minorHAnsi" w:eastAsiaTheme="minorHAnsi" w:hAnsiTheme="minorHAnsi" w:cstheme="minorBidi"/>
                <w:sz w:val="22"/>
                <w:szCs w:val="22"/>
                <w:lang w:val="hr-HR" w:eastAsia="en-US"/>
              </w:rPr>
              <w:t>najam i kupnja opreme za provedbu projektnih aktivnosti</w:t>
            </w:r>
            <w:r>
              <w:rPr>
                <w:rFonts w:asciiTheme="minorHAnsi" w:eastAsiaTheme="minorHAnsi" w:hAnsiTheme="minorHAnsi" w:cstheme="minorBidi"/>
                <w:sz w:val="22"/>
                <w:szCs w:val="22"/>
                <w:lang w:val="hr-HR" w:eastAsia="en-US"/>
              </w:rPr>
              <w:t xml:space="preserve">“, naveden pod istom točkom Uputa za prijavitelje, te je toj stavci troška u proračunu projektnog prijedloga potrebno pridružiti oznaku „oprema“. U oba slučaja, navedeni troškovi su prihvatljivi ukoliko su </w:t>
            </w:r>
            <w:r w:rsidRPr="0049260D">
              <w:rPr>
                <w:rFonts w:asciiTheme="minorHAnsi" w:eastAsiaTheme="minorHAnsi" w:hAnsiTheme="minorHAnsi" w:cstheme="minorBidi"/>
                <w:sz w:val="22"/>
                <w:szCs w:val="22"/>
                <w:lang w:val="hr-HR" w:eastAsia="en-US"/>
              </w:rPr>
              <w:t xml:space="preserve">jasno povezani s projektnim aktivnostima, </w:t>
            </w:r>
            <w:r>
              <w:rPr>
                <w:rFonts w:asciiTheme="minorHAnsi" w:eastAsiaTheme="minorHAnsi" w:hAnsiTheme="minorHAnsi" w:cstheme="minorBidi"/>
                <w:sz w:val="22"/>
                <w:szCs w:val="22"/>
                <w:lang w:val="hr-HR" w:eastAsia="en-US"/>
              </w:rPr>
              <w:t xml:space="preserve">nužni za njihovu provedbu </w:t>
            </w:r>
            <w:r w:rsidRPr="0049260D">
              <w:rPr>
                <w:rFonts w:asciiTheme="minorHAnsi" w:eastAsiaTheme="minorHAnsi" w:hAnsiTheme="minorHAnsi" w:cstheme="minorBidi"/>
                <w:sz w:val="22"/>
                <w:szCs w:val="22"/>
                <w:lang w:val="hr-HR" w:eastAsia="en-US"/>
              </w:rPr>
              <w:t>odnosno ukoliko doprinose ostvarenju ciljeva projekta</w:t>
            </w:r>
            <w:r>
              <w:rPr>
                <w:rFonts w:asciiTheme="minorHAnsi" w:eastAsiaTheme="minorHAnsi" w:hAnsiTheme="minorHAnsi" w:cstheme="minorBidi"/>
                <w:sz w:val="22"/>
                <w:szCs w:val="22"/>
                <w:lang w:val="hr-HR" w:eastAsia="en-US"/>
              </w:rPr>
              <w:t xml:space="preserve"> i Poziva</w:t>
            </w:r>
            <w:r w:rsidRPr="0049260D">
              <w:rPr>
                <w:rFonts w:asciiTheme="minorHAnsi" w:eastAsiaTheme="minorHAnsi" w:hAnsiTheme="minorHAnsi" w:cstheme="minorBidi"/>
                <w:sz w:val="22"/>
                <w:szCs w:val="22"/>
                <w:lang w:val="hr-HR" w:eastAsia="en-US"/>
              </w:rPr>
              <w:t>.</w:t>
            </w:r>
          </w:p>
        </w:tc>
      </w:tr>
      <w:tr w:rsidR="00DD00F0" w:rsidRPr="004D0E1C" w14:paraId="7691D1F9" w14:textId="77777777" w:rsidTr="00DD00F0">
        <w:tc>
          <w:tcPr>
            <w:tcW w:w="562" w:type="dxa"/>
          </w:tcPr>
          <w:p w14:paraId="3E5AC289" w14:textId="0199E883" w:rsidR="00DD00F0" w:rsidRDefault="00DD00F0" w:rsidP="002C76AA">
            <w:pPr>
              <w:rPr>
                <w:rFonts w:cstheme="minorHAnsi"/>
              </w:rPr>
            </w:pPr>
            <w:r w:rsidRPr="004F4916">
              <w:rPr>
                <w:rFonts w:cstheme="minorHAnsi"/>
              </w:rPr>
              <w:t>7</w:t>
            </w:r>
          </w:p>
        </w:tc>
        <w:tc>
          <w:tcPr>
            <w:tcW w:w="3828" w:type="dxa"/>
          </w:tcPr>
          <w:p w14:paraId="03EA882A" w14:textId="70DCD41B" w:rsidR="00DD00F0" w:rsidRPr="004F64B9" w:rsidRDefault="00DD00F0" w:rsidP="00082D44">
            <w:r>
              <w:t>Pri ocjenjivanju kapaciteta prijavitelja i partnera, uzima li se u obzir jedino iskustvo navedenih pravnih osoba, ili se može uzeti u obzir i iskustvo članova tih pravnih osoba? Konkretno, u slučaju udruge koja nema iskustva u provođenju projekata, no osobe koje su njezini članovi imaju, uzima li se potonje u obzir prilikom ocjenjivanja?</w:t>
            </w:r>
          </w:p>
        </w:tc>
        <w:tc>
          <w:tcPr>
            <w:tcW w:w="5103" w:type="dxa"/>
          </w:tcPr>
          <w:p w14:paraId="577675CB" w14:textId="61591F67" w:rsidR="00DD00F0" w:rsidRDefault="00DD00F0" w:rsidP="002025E8">
            <w:r>
              <w:t xml:space="preserve">U okviru kriterija </w:t>
            </w:r>
            <w:r w:rsidRPr="008F3A3A">
              <w:t xml:space="preserve">7.1. </w:t>
            </w:r>
            <w:r>
              <w:t>„</w:t>
            </w:r>
            <w:r w:rsidRPr="008F3A3A">
              <w:t>Upravljačko-administrativni, financijski i stručni kapaciteti za</w:t>
            </w:r>
            <w:r>
              <w:t xml:space="preserve"> provedbu projekta“ (</w:t>
            </w:r>
            <w:r w:rsidRPr="008F3A3A">
              <w:t xml:space="preserve">navedenog u točki 6.2 </w:t>
            </w:r>
            <w:r w:rsidRPr="004B6E7C">
              <w:rPr>
                <w:i/>
              </w:rPr>
              <w:t>Procjena kvalitete</w:t>
            </w:r>
            <w:r w:rsidRPr="008F3A3A">
              <w:t xml:space="preserve"> Uputa za prijavitelje</w:t>
            </w:r>
            <w:r>
              <w:t>) ocjenjuju se kapaciteti prijavitelja i partnera, kao i kapaciteti projektnog tima. U okviru rubrike „Informacije</w:t>
            </w:r>
            <w:r w:rsidRPr="008F3A3A">
              <w:t xml:space="preserve"> o provedbenim kapacitetima prijavitelja i odabiru</w:t>
            </w:r>
            <w:r>
              <w:t xml:space="preserve"> p</w:t>
            </w:r>
            <w:r w:rsidRPr="008F3A3A">
              <w:t>artnera</w:t>
            </w:r>
            <w:r>
              <w:t>“ potrebno je, među ostalim, navesti „</w:t>
            </w:r>
            <w:r w:rsidRPr="008F3A3A">
              <w:t>ključne osobe projektnog tima koje će sudjelovati u provedbi projekta (upravljačko-administrativno i stručno osoblje), funkciju za koju će biti zadužene</w:t>
            </w:r>
            <w:r>
              <w:t xml:space="preserve"> na projektu te ukratko opisati </w:t>
            </w:r>
            <w:r w:rsidRPr="008F3A3A">
              <w:t>njihove kompetencije relevantne za navedenu funkc</w:t>
            </w:r>
            <w:r>
              <w:t xml:space="preserve">iju“ (vidi str. 20 Korisničkog priručnika za popunjavanje prijavnog obrasca A – Prilog 3 natječajne dokumentacije). Stoga su i upravljačke/ stručne reference osoba koje su članovi organizacija prijavitelja i partnera relevantne ukoliko će te osobe biti angažirane na provedbi projektnih aktivnosti. </w:t>
            </w:r>
          </w:p>
        </w:tc>
      </w:tr>
      <w:tr w:rsidR="00DD00F0" w:rsidRPr="004D0E1C" w14:paraId="20BF2A57" w14:textId="77777777" w:rsidTr="00DD00F0">
        <w:tc>
          <w:tcPr>
            <w:tcW w:w="562" w:type="dxa"/>
          </w:tcPr>
          <w:p w14:paraId="53312681" w14:textId="4500B070" w:rsidR="00DD00F0" w:rsidRDefault="00DD00F0" w:rsidP="004F64B9">
            <w:pPr>
              <w:rPr>
                <w:rFonts w:cstheme="minorHAnsi"/>
              </w:rPr>
            </w:pPr>
            <w:r w:rsidRPr="0016604B">
              <w:rPr>
                <w:rFonts w:cstheme="minorHAnsi"/>
              </w:rPr>
              <w:lastRenderedPageBreak/>
              <w:t>8</w:t>
            </w:r>
          </w:p>
        </w:tc>
        <w:tc>
          <w:tcPr>
            <w:tcW w:w="3828" w:type="dxa"/>
          </w:tcPr>
          <w:p w14:paraId="0E0A7D08" w14:textId="3D5734FE" w:rsidR="00DD00F0" w:rsidRPr="004F64B9" w:rsidRDefault="00DD00F0" w:rsidP="00082D44">
            <w:r>
              <w:t>Može li partner na projektnom prijedlogu biti braniteljsko-radno-socijalna zadruga?</w:t>
            </w:r>
          </w:p>
        </w:tc>
        <w:tc>
          <w:tcPr>
            <w:tcW w:w="5103" w:type="dxa"/>
          </w:tcPr>
          <w:p w14:paraId="0348F3D7" w14:textId="7D85C762" w:rsidR="00DD00F0" w:rsidRPr="00013FAC" w:rsidRDefault="00DD00F0" w:rsidP="00966676">
            <w:pPr>
              <w:pStyle w:val="FootnoteText"/>
              <w:rPr>
                <w:sz w:val="22"/>
                <w:lang w:val="hr-HR"/>
              </w:rPr>
            </w:pPr>
            <w:r>
              <w:rPr>
                <w:sz w:val="22"/>
                <w:lang w:val="hr-HR"/>
              </w:rPr>
              <w:t xml:space="preserve">Ne. Sukladno točki </w:t>
            </w:r>
            <w:r w:rsidRPr="00C236C0">
              <w:rPr>
                <w:sz w:val="22"/>
                <w:lang w:val="hr-HR"/>
              </w:rPr>
              <w:t xml:space="preserve">2.1 </w:t>
            </w:r>
            <w:r w:rsidRPr="00C236C0">
              <w:rPr>
                <w:i/>
                <w:sz w:val="22"/>
                <w:lang w:val="hr-HR"/>
              </w:rPr>
              <w:t>Prijavitelj i partneri</w:t>
            </w:r>
            <w:r>
              <w:rPr>
                <w:sz w:val="22"/>
                <w:lang w:val="hr-HR"/>
              </w:rPr>
              <w:t xml:space="preserve"> Uputa za prijavitelje, zadruge nisu prihvatljiv partner u okviru ovog Poziva.</w:t>
            </w:r>
          </w:p>
        </w:tc>
      </w:tr>
      <w:tr w:rsidR="00DD00F0" w:rsidRPr="004D0E1C" w14:paraId="2DF68E5D" w14:textId="77777777" w:rsidTr="00DD00F0">
        <w:tc>
          <w:tcPr>
            <w:tcW w:w="562" w:type="dxa"/>
          </w:tcPr>
          <w:p w14:paraId="60C81E07" w14:textId="2CFC3FAE" w:rsidR="00DD00F0" w:rsidRPr="00D92201" w:rsidRDefault="00DD00F0" w:rsidP="004F64B9">
            <w:pPr>
              <w:rPr>
                <w:rFonts w:cstheme="minorHAnsi"/>
              </w:rPr>
            </w:pPr>
            <w:r w:rsidRPr="00D92201">
              <w:rPr>
                <w:rFonts w:cstheme="minorHAnsi"/>
              </w:rPr>
              <w:t>9</w:t>
            </w:r>
          </w:p>
        </w:tc>
        <w:tc>
          <w:tcPr>
            <w:tcW w:w="3828" w:type="dxa"/>
          </w:tcPr>
          <w:p w14:paraId="393F27FB" w14:textId="6A51D248" w:rsidR="00DD00F0" w:rsidRPr="00D92201" w:rsidRDefault="00DD00F0" w:rsidP="009E642D">
            <w:r w:rsidRPr="00D92201">
              <w:t>U slučaju da je prijavitelj ustanova u kulturi, a za voditelja projekta je predviđen zaposlenik te ustanove čija se plaća isplaćuje iz proračuna jedinice lokalne samouprave te se ne planira u okviru projektnog prijedloga zatražiti učešće u plaći za navedenu osobu, kako prikazujemo tu osobu u okviru projektnog proračuna? Naime, planira se osobu preraspodjelom radnih zadataka angažirati na projektu, a da se istovremeno njezina puna plaća isplaćuje u okviru redovnog financiranja jedinice lokalne samouprave.</w:t>
            </w:r>
          </w:p>
        </w:tc>
        <w:tc>
          <w:tcPr>
            <w:tcW w:w="5103" w:type="dxa"/>
          </w:tcPr>
          <w:p w14:paraId="5E6A456F" w14:textId="0796B422" w:rsidR="00DD00F0" w:rsidRPr="004B6AAB" w:rsidRDefault="00DD00F0" w:rsidP="009C0913">
            <w:pPr>
              <w:pStyle w:val="FootnoteText"/>
              <w:rPr>
                <w:rFonts w:asciiTheme="minorHAnsi" w:eastAsiaTheme="minorHAnsi" w:hAnsiTheme="minorHAnsi" w:cstheme="minorBidi"/>
                <w:sz w:val="22"/>
                <w:szCs w:val="22"/>
                <w:lang w:val="hr-HR" w:eastAsia="en-US"/>
              </w:rPr>
            </w:pPr>
            <w:r>
              <w:rPr>
                <w:rFonts w:asciiTheme="minorHAnsi" w:eastAsiaTheme="minorHAnsi" w:hAnsiTheme="minorHAnsi" w:cstheme="minorBidi"/>
                <w:sz w:val="22"/>
                <w:szCs w:val="22"/>
                <w:lang w:val="hr-HR" w:eastAsia="en-US"/>
              </w:rPr>
              <w:t>U tom slučaju potrebno je</w:t>
            </w:r>
            <w:r w:rsidRPr="000C06C5">
              <w:rPr>
                <w:rFonts w:asciiTheme="minorHAnsi" w:eastAsiaTheme="minorHAnsi" w:hAnsiTheme="minorHAnsi" w:cstheme="minorBidi"/>
                <w:sz w:val="22"/>
                <w:szCs w:val="22"/>
                <w:lang w:val="hr-HR" w:eastAsia="en-US"/>
              </w:rPr>
              <w:t xml:space="preserve"> dodatkom ugovora o radu/odlukom/rješenjem, odrediti postotak radnog vremena koji će se odnositi na obavlja</w:t>
            </w:r>
            <w:r>
              <w:rPr>
                <w:rFonts w:asciiTheme="minorHAnsi" w:eastAsiaTheme="minorHAnsi" w:hAnsiTheme="minorHAnsi" w:cstheme="minorBidi"/>
                <w:sz w:val="22"/>
                <w:szCs w:val="22"/>
                <w:lang w:val="hr-HR" w:eastAsia="en-US"/>
              </w:rPr>
              <w:t>nje poslova u vezi s projektom te za taj udio plaće potraživati sredstva u okviru proračuna projektnog prijedloga.</w:t>
            </w:r>
          </w:p>
        </w:tc>
      </w:tr>
      <w:tr w:rsidR="00DD00F0" w:rsidRPr="004D0E1C" w14:paraId="692A2C88" w14:textId="77777777" w:rsidTr="00DD00F0">
        <w:tc>
          <w:tcPr>
            <w:tcW w:w="562" w:type="dxa"/>
          </w:tcPr>
          <w:p w14:paraId="66C053DC" w14:textId="7F62AD13" w:rsidR="00DD00F0" w:rsidRDefault="00DD00F0" w:rsidP="004F64B9">
            <w:pPr>
              <w:rPr>
                <w:rFonts w:cstheme="minorHAnsi"/>
              </w:rPr>
            </w:pPr>
            <w:r w:rsidRPr="004F4916">
              <w:rPr>
                <w:rFonts w:cstheme="minorHAnsi"/>
              </w:rPr>
              <w:t>10</w:t>
            </w:r>
          </w:p>
        </w:tc>
        <w:tc>
          <w:tcPr>
            <w:tcW w:w="3828" w:type="dxa"/>
          </w:tcPr>
          <w:p w14:paraId="6DB6E9E3" w14:textId="31C723D9" w:rsidR="00DD00F0" w:rsidRPr="004F64B9" w:rsidRDefault="00DD00F0" w:rsidP="007B3EB1">
            <w:r>
              <w:t>Natječaj se zaključuje 28. veljače, u istom mjesecu u kojem su u velikom broju udruga izborne skupštine te će se potencijalno ovlaštene osobe za potpisivanje ugovora mijenjati. Kako postupati u slučaju kada ovlaštena osoba više nije osoba koja je navedena u projektnom prijedlogu?</w:t>
            </w:r>
          </w:p>
        </w:tc>
        <w:tc>
          <w:tcPr>
            <w:tcW w:w="5103" w:type="dxa"/>
          </w:tcPr>
          <w:p w14:paraId="34BA465D" w14:textId="34140DBA" w:rsidR="00DD00F0" w:rsidRPr="00894352" w:rsidRDefault="00DD00F0" w:rsidP="009650FF">
            <w:r w:rsidRPr="000C2FC0">
              <w:t xml:space="preserve">Obaveza je prijavitelja da </w:t>
            </w:r>
            <w:r>
              <w:t>prije potpisivanja ugovora o dodjeli bespovratnih sredstava obavijesti nadležno tijelo o promjenama u vlastitoj upravljačkoj strukturi.</w:t>
            </w:r>
          </w:p>
        </w:tc>
      </w:tr>
      <w:tr w:rsidR="00DD00F0" w:rsidRPr="004D0E1C" w14:paraId="7C456002" w14:textId="77777777" w:rsidTr="00DD00F0">
        <w:tc>
          <w:tcPr>
            <w:tcW w:w="562" w:type="dxa"/>
          </w:tcPr>
          <w:p w14:paraId="11FB59F1" w14:textId="77777777" w:rsidR="00DD00F0" w:rsidRDefault="00DD00F0" w:rsidP="004F64B9">
            <w:pPr>
              <w:rPr>
                <w:rFonts w:cstheme="minorHAnsi"/>
              </w:rPr>
            </w:pPr>
            <w:r w:rsidRPr="004F4916">
              <w:rPr>
                <w:rFonts w:cstheme="minorHAnsi"/>
              </w:rPr>
              <w:t>11</w:t>
            </w:r>
          </w:p>
        </w:tc>
        <w:tc>
          <w:tcPr>
            <w:tcW w:w="3828" w:type="dxa"/>
          </w:tcPr>
          <w:p w14:paraId="673095B6" w14:textId="5A797473" w:rsidR="00DD00F0" w:rsidRPr="004F64B9" w:rsidRDefault="00DD00F0" w:rsidP="007B3EB1">
            <w:r>
              <w:t>Voditelji kulturno-umjetničkih udruga obično se isplaćuju temeljem ugovora o djelu, a često obavljaju to zaduženje volonterski. Je li moguće u okviru proračuna projektnih prijedloga predvidjeti naknadu za njihov rad?</w:t>
            </w:r>
          </w:p>
        </w:tc>
        <w:tc>
          <w:tcPr>
            <w:tcW w:w="5103" w:type="dxa"/>
          </w:tcPr>
          <w:p w14:paraId="4DEC45FA" w14:textId="5495279D" w:rsidR="00DD00F0" w:rsidRPr="001D364E" w:rsidRDefault="00DD00F0" w:rsidP="00700FAB">
            <w:pPr>
              <w:pStyle w:val="FootnoteText"/>
              <w:rPr>
                <w:sz w:val="22"/>
                <w:lang w:val="hr-HR"/>
              </w:rPr>
            </w:pPr>
            <w:r>
              <w:rPr>
                <w:sz w:val="22"/>
                <w:lang w:val="hr-HR"/>
              </w:rPr>
              <w:t>T</w:t>
            </w:r>
            <w:r w:rsidRPr="00B418E4">
              <w:rPr>
                <w:sz w:val="22"/>
                <w:lang w:val="hr-HR"/>
              </w:rPr>
              <w:t>roškovi rada</w:t>
            </w:r>
            <w:r>
              <w:rPr>
                <w:sz w:val="22"/>
                <w:lang w:val="hr-HR"/>
              </w:rPr>
              <w:t xml:space="preserve"> osoba angažiranih na provedbi projektnih aktivnosti su prihvatljivi, te pripadaju kategoriji izravnih troškova osoblja. Te je naknade moguće isplatiti temeljem ugovora o radu ili temeljem ugovora</w:t>
            </w:r>
            <w:r w:rsidRPr="00B54D4E">
              <w:rPr>
                <w:sz w:val="22"/>
                <w:lang w:val="hr-HR"/>
              </w:rPr>
              <w:t xml:space="preserve"> o uslugama za vanjsko osoblje </w:t>
            </w:r>
            <w:r>
              <w:rPr>
                <w:sz w:val="22"/>
                <w:lang w:val="hr-HR"/>
              </w:rPr>
              <w:t>(npr. ugovor o djelu ili autorski ugovor). Izravni troškovi osoblja ne uključuju putne troškove (osim troškove prijevoza osoblja koje je obuhvaćeno zakonski reguliranim davanjima na plaću) te materijale potrebne osoblju za provedbu projektnih aktivnosti. Voditelj projekta mora na projektu biti zaposlen temeljem ugovora o radu kod prijavitelja/partnera.</w:t>
            </w:r>
          </w:p>
        </w:tc>
      </w:tr>
      <w:tr w:rsidR="00DD00F0" w:rsidRPr="007060DE" w14:paraId="30B82EB5" w14:textId="77777777" w:rsidTr="00DD00F0">
        <w:tc>
          <w:tcPr>
            <w:tcW w:w="562" w:type="dxa"/>
          </w:tcPr>
          <w:p w14:paraId="0C8124EA" w14:textId="77777777" w:rsidR="00DD00F0" w:rsidRPr="007060DE" w:rsidRDefault="00DD00F0" w:rsidP="004F64B9">
            <w:pPr>
              <w:rPr>
                <w:rFonts w:eastAsia="Times New Roman"/>
              </w:rPr>
            </w:pPr>
            <w:r w:rsidRPr="007060DE">
              <w:rPr>
                <w:rFonts w:eastAsia="Times New Roman"/>
              </w:rPr>
              <w:t>12</w:t>
            </w:r>
          </w:p>
        </w:tc>
        <w:tc>
          <w:tcPr>
            <w:tcW w:w="3828" w:type="dxa"/>
          </w:tcPr>
          <w:p w14:paraId="2478E685" w14:textId="5D4EE7A0" w:rsidR="00DD00F0" w:rsidRPr="00C33A67" w:rsidRDefault="00DD00F0" w:rsidP="00417A19">
            <w:r w:rsidRPr="00C33A67">
              <w:t>Je li moguće isplatiti honorar umirovljenoj osobi iz proračuna projektnog prijedloga?</w:t>
            </w:r>
          </w:p>
        </w:tc>
        <w:tc>
          <w:tcPr>
            <w:tcW w:w="5103" w:type="dxa"/>
          </w:tcPr>
          <w:p w14:paraId="4F7AAFD4" w14:textId="538F3058" w:rsidR="00DD00F0" w:rsidRPr="00C33A67" w:rsidRDefault="00DD00F0" w:rsidP="002B17A7">
            <w:pPr>
              <w:pStyle w:val="FootnoteText"/>
              <w:rPr>
                <w:sz w:val="22"/>
                <w:lang w:val="hr-HR"/>
              </w:rPr>
            </w:pPr>
            <w:r w:rsidRPr="00C33A67">
              <w:rPr>
                <w:sz w:val="22"/>
                <w:lang w:val="hr-HR"/>
              </w:rPr>
              <w:t xml:space="preserve">S umirovljenom osobom je moguće sklopiti ugovor o djelu ili autorski ugovor za obavljanje privremenih poslova na projektu. </w:t>
            </w:r>
          </w:p>
        </w:tc>
      </w:tr>
      <w:tr w:rsidR="00DD00F0" w:rsidRPr="007060DE" w14:paraId="228ADED2" w14:textId="77777777" w:rsidTr="00DD00F0">
        <w:tc>
          <w:tcPr>
            <w:tcW w:w="562" w:type="dxa"/>
          </w:tcPr>
          <w:p w14:paraId="24E4B5AA" w14:textId="28ED4CA7" w:rsidR="00DD00F0" w:rsidRPr="00D12842" w:rsidRDefault="00DD00F0" w:rsidP="004F64B9">
            <w:pPr>
              <w:rPr>
                <w:rFonts w:eastAsia="Times New Roman"/>
              </w:rPr>
            </w:pPr>
            <w:r w:rsidRPr="00D12842">
              <w:rPr>
                <w:rFonts w:eastAsia="Times New Roman"/>
              </w:rPr>
              <w:t>13</w:t>
            </w:r>
          </w:p>
        </w:tc>
        <w:tc>
          <w:tcPr>
            <w:tcW w:w="3828" w:type="dxa"/>
          </w:tcPr>
          <w:p w14:paraId="1D40CA25" w14:textId="4E3F9D88" w:rsidR="00DD00F0" w:rsidRPr="00D12842" w:rsidRDefault="00DD00F0" w:rsidP="002B17A7">
            <w:r w:rsidRPr="00D12842">
              <w:t xml:space="preserve">U svrhu utvrđivanja početka provedbe projektnih aktivnosti u okviru projektnog prijedloga, molimo Vas da nam date informaciju o tome kada se može očekivati potpisivanje ugovora o dodjeli bespovratnih sredstava u okviru ovog Poziva. </w:t>
            </w:r>
          </w:p>
        </w:tc>
        <w:tc>
          <w:tcPr>
            <w:tcW w:w="5103" w:type="dxa"/>
          </w:tcPr>
          <w:p w14:paraId="6E81EF80" w14:textId="77777777" w:rsidR="00DD00F0" w:rsidRDefault="00DD00F0" w:rsidP="00655204">
            <w:pPr>
              <w:pStyle w:val="FootnoteText"/>
              <w:rPr>
                <w:rFonts w:asciiTheme="minorHAnsi" w:eastAsia="Times New Roman" w:hAnsiTheme="minorHAnsi" w:cstheme="minorBidi"/>
                <w:noProof/>
                <w:sz w:val="22"/>
                <w:szCs w:val="22"/>
                <w:lang w:val="hr-HR" w:eastAsia="en-US"/>
              </w:rPr>
            </w:pPr>
            <w:r w:rsidRPr="00D12842">
              <w:rPr>
                <w:rFonts w:asciiTheme="minorHAnsi" w:eastAsia="Times New Roman" w:hAnsiTheme="minorHAnsi" w:cstheme="minorBidi"/>
                <w:noProof/>
                <w:sz w:val="22"/>
                <w:szCs w:val="22"/>
                <w:lang w:val="hr-HR" w:eastAsia="en-US"/>
              </w:rPr>
              <w:t>Donošenje Odluke o financiranju bit će u najkraćem mogućem roku, sukladno mogućnostima te postupcima propisanima za dodjelu bespovratnih sredstava.</w:t>
            </w:r>
          </w:p>
          <w:p w14:paraId="6A67934D" w14:textId="4A836AED" w:rsidR="00D12842" w:rsidRPr="007060DE" w:rsidRDefault="00D12842" w:rsidP="00655204">
            <w:pPr>
              <w:pStyle w:val="FootnoteText"/>
              <w:rPr>
                <w:rFonts w:asciiTheme="minorHAnsi" w:eastAsia="Times New Roman" w:hAnsiTheme="minorHAnsi" w:cstheme="minorBidi"/>
                <w:noProof/>
                <w:sz w:val="22"/>
                <w:szCs w:val="22"/>
                <w:lang w:val="hr-HR" w:eastAsia="en-US"/>
              </w:rPr>
            </w:pPr>
            <w:r w:rsidRPr="00D12842">
              <w:rPr>
                <w:rFonts w:asciiTheme="minorHAnsi" w:eastAsia="Times New Roman" w:hAnsiTheme="minorHAnsi" w:cstheme="minorBidi"/>
                <w:noProof/>
                <w:sz w:val="22"/>
                <w:szCs w:val="22"/>
                <w:lang w:val="hr-HR" w:eastAsia="en-US"/>
              </w:rPr>
              <w:t>Ujedno napominjemo da će prijavitelji, čiji projekti budu predloženi za financiranje, prilikom provjere prihvatljivosti izdataka biti u mogućnosti promijeniti ili prilagoditi početak određenih aktivnosti sukladno novonastalim vremenskim okvirima.</w:t>
            </w:r>
          </w:p>
        </w:tc>
      </w:tr>
      <w:tr w:rsidR="00DD00F0" w:rsidRPr="007060DE" w14:paraId="4CDE3FCC" w14:textId="77777777" w:rsidTr="00DD00F0">
        <w:tc>
          <w:tcPr>
            <w:tcW w:w="562" w:type="dxa"/>
          </w:tcPr>
          <w:p w14:paraId="4492DCB4" w14:textId="7964B72B" w:rsidR="00DD00F0" w:rsidRPr="007060DE" w:rsidRDefault="00DD00F0" w:rsidP="004F64B9">
            <w:pPr>
              <w:rPr>
                <w:rFonts w:eastAsia="Times New Roman"/>
              </w:rPr>
            </w:pPr>
            <w:r w:rsidRPr="007060DE">
              <w:rPr>
                <w:rFonts w:eastAsia="Times New Roman"/>
              </w:rPr>
              <w:lastRenderedPageBreak/>
              <w:t>14</w:t>
            </w:r>
          </w:p>
        </w:tc>
        <w:tc>
          <w:tcPr>
            <w:tcW w:w="3828" w:type="dxa"/>
          </w:tcPr>
          <w:p w14:paraId="56FE3208" w14:textId="470F01D5" w:rsidR="00DD00F0" w:rsidRPr="004F64B9" w:rsidRDefault="00DD00F0" w:rsidP="00D402D7">
            <w:r>
              <w:t>Može li na projektnom prijedlogu biti partner samo jedna jedinica lokalne samouprave ili ih može biti više?</w:t>
            </w:r>
          </w:p>
        </w:tc>
        <w:tc>
          <w:tcPr>
            <w:tcW w:w="5103" w:type="dxa"/>
          </w:tcPr>
          <w:p w14:paraId="7CEE3D36" w14:textId="5BE8AF0A" w:rsidR="00DD00F0" w:rsidRDefault="00DD00F0" w:rsidP="00853A97">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Sukladno točki </w:t>
            </w:r>
            <w:r w:rsidRPr="002F1FA0">
              <w:rPr>
                <w:rFonts w:asciiTheme="minorHAnsi" w:eastAsia="Times New Roman" w:hAnsiTheme="minorHAnsi" w:cstheme="minorBidi"/>
                <w:noProof/>
                <w:sz w:val="22"/>
                <w:szCs w:val="22"/>
                <w:lang w:val="hr-HR" w:eastAsia="en-US"/>
              </w:rPr>
              <w:t xml:space="preserve">2.1 </w:t>
            </w:r>
            <w:r w:rsidRPr="002F1FA0">
              <w:rPr>
                <w:rFonts w:asciiTheme="minorHAnsi" w:eastAsia="Times New Roman" w:hAnsiTheme="minorHAnsi" w:cstheme="minorBidi"/>
                <w:i/>
                <w:noProof/>
                <w:sz w:val="22"/>
                <w:szCs w:val="22"/>
                <w:lang w:val="hr-HR" w:eastAsia="en-US"/>
              </w:rPr>
              <w:t>Prijavitelj i partneri</w:t>
            </w:r>
            <w:r>
              <w:rPr>
                <w:rFonts w:asciiTheme="minorHAnsi" w:eastAsia="Times New Roman" w:hAnsiTheme="minorHAnsi" w:cstheme="minorBidi"/>
                <w:noProof/>
                <w:sz w:val="22"/>
                <w:szCs w:val="22"/>
                <w:lang w:val="hr-HR" w:eastAsia="en-US"/>
              </w:rPr>
              <w:t xml:space="preserve"> Uputa za prijavitelje, projektno pratnerstvo koje uključuje više jedinica lokalne samouprave, a istovremeno ispunjava sve druge primjenjive odredbe o obaveznim partnerima (ovisno o pravnoj osobnosti prijavitelja te o skupini aktivnosti u okviru koje se prijavljuje projektni prijedlog), prihvatljivo je u okviru ovog Poziva.</w:t>
            </w:r>
          </w:p>
          <w:p w14:paraId="70D23F96" w14:textId="5463F739" w:rsidR="00DD00F0" w:rsidRPr="00230724" w:rsidRDefault="00DD00F0" w:rsidP="00230724">
            <w:pPr>
              <w:pStyle w:val="FootnoteText"/>
              <w:rPr>
                <w:rFonts w:asciiTheme="minorHAnsi" w:eastAsiaTheme="minorHAnsi" w:hAnsiTheme="minorHAnsi" w:cstheme="minorBidi"/>
                <w:sz w:val="22"/>
                <w:szCs w:val="22"/>
                <w:lang w:val="hr-HR" w:eastAsia="en-US"/>
              </w:rPr>
            </w:pPr>
            <w:r>
              <w:rPr>
                <w:rFonts w:asciiTheme="minorHAnsi" w:eastAsiaTheme="minorHAnsi" w:hAnsiTheme="minorHAnsi" w:cstheme="minorBidi"/>
                <w:sz w:val="22"/>
                <w:szCs w:val="22"/>
                <w:lang w:val="hr-HR" w:eastAsia="en-US"/>
              </w:rPr>
              <w:t xml:space="preserve">Napominjemo da je partnere potrebno pažljivo odabirati s obzirom na svrhu i ciljeve Poziva te na planirane projektne aktivnosti. Učinkovitost partnerstva te njegov doprinos </w:t>
            </w:r>
            <w:r w:rsidRPr="00107E41">
              <w:rPr>
                <w:rFonts w:asciiTheme="minorHAnsi" w:eastAsiaTheme="minorHAnsi" w:hAnsiTheme="minorHAnsi" w:cstheme="minorBidi"/>
                <w:sz w:val="22"/>
                <w:szCs w:val="22"/>
                <w:lang w:val="hr-HR" w:eastAsia="en-US"/>
              </w:rPr>
              <w:t>ostvarivanju ciljeva projektnog prijedloga i Poziva</w:t>
            </w:r>
            <w:r>
              <w:rPr>
                <w:rFonts w:asciiTheme="minorHAnsi" w:eastAsiaTheme="minorHAnsi" w:hAnsiTheme="minorHAnsi" w:cstheme="minorBidi"/>
                <w:sz w:val="22"/>
                <w:szCs w:val="22"/>
                <w:lang w:val="hr-HR" w:eastAsia="en-US"/>
              </w:rPr>
              <w:t xml:space="preserve"> ocjenjivat će se u okviru kriterija dodjele 4.3 </w:t>
            </w:r>
            <w:r w:rsidRPr="00107E41">
              <w:rPr>
                <w:rFonts w:asciiTheme="minorHAnsi" w:eastAsiaTheme="minorHAnsi" w:hAnsiTheme="minorHAnsi" w:cstheme="minorBidi"/>
                <w:i/>
                <w:sz w:val="22"/>
                <w:szCs w:val="22"/>
                <w:lang w:val="hr-HR" w:eastAsia="en-US"/>
              </w:rPr>
              <w:t>Opseg, uloge, odgovornosti i učinkovitost partnerstva</w:t>
            </w:r>
            <w:r>
              <w:rPr>
                <w:rFonts w:asciiTheme="minorHAnsi" w:eastAsiaTheme="minorHAnsi" w:hAnsiTheme="minorHAnsi" w:cstheme="minorBidi"/>
                <w:sz w:val="22"/>
                <w:szCs w:val="22"/>
                <w:lang w:val="hr-HR" w:eastAsia="en-US"/>
              </w:rPr>
              <w:t xml:space="preserve"> navedenom u točki </w:t>
            </w:r>
            <w:r w:rsidRPr="00107E41">
              <w:rPr>
                <w:rFonts w:asciiTheme="minorHAnsi" w:eastAsiaTheme="minorHAnsi" w:hAnsiTheme="minorHAnsi" w:cstheme="minorBidi"/>
                <w:sz w:val="22"/>
                <w:szCs w:val="22"/>
                <w:lang w:val="hr-HR" w:eastAsia="en-US"/>
              </w:rPr>
              <w:t xml:space="preserve">6.2 </w:t>
            </w:r>
            <w:r w:rsidRPr="00107E41">
              <w:rPr>
                <w:rFonts w:asciiTheme="minorHAnsi" w:eastAsiaTheme="minorHAnsi" w:hAnsiTheme="minorHAnsi" w:cstheme="minorBidi"/>
                <w:i/>
                <w:sz w:val="22"/>
                <w:szCs w:val="22"/>
                <w:lang w:val="hr-HR" w:eastAsia="en-US"/>
              </w:rPr>
              <w:t>Procjena kvalitete</w:t>
            </w:r>
            <w:r>
              <w:rPr>
                <w:rFonts w:asciiTheme="minorHAnsi" w:eastAsiaTheme="minorHAnsi" w:hAnsiTheme="minorHAnsi" w:cstheme="minorBidi"/>
                <w:sz w:val="22"/>
                <w:szCs w:val="22"/>
                <w:lang w:val="hr-HR" w:eastAsia="en-US"/>
              </w:rPr>
              <w:t xml:space="preserve"> Uputa za prijavitelje.</w:t>
            </w:r>
          </w:p>
        </w:tc>
      </w:tr>
      <w:tr w:rsidR="00DD00F0" w:rsidRPr="007060DE" w14:paraId="09CD5101" w14:textId="77777777" w:rsidTr="00DD00F0">
        <w:tc>
          <w:tcPr>
            <w:tcW w:w="562" w:type="dxa"/>
          </w:tcPr>
          <w:p w14:paraId="05425AF1" w14:textId="60B0D8D4" w:rsidR="00DD00F0" w:rsidRPr="00D12842" w:rsidRDefault="00DD00F0" w:rsidP="004F64B9">
            <w:pPr>
              <w:rPr>
                <w:rFonts w:eastAsia="Times New Roman"/>
              </w:rPr>
            </w:pPr>
            <w:r w:rsidRPr="00D12842">
              <w:rPr>
                <w:rFonts w:eastAsia="Times New Roman"/>
              </w:rPr>
              <w:t>15</w:t>
            </w:r>
          </w:p>
        </w:tc>
        <w:tc>
          <w:tcPr>
            <w:tcW w:w="3828" w:type="dxa"/>
          </w:tcPr>
          <w:p w14:paraId="4421BECA" w14:textId="01463530" w:rsidR="00DD00F0" w:rsidRPr="00D12842" w:rsidRDefault="00DD00F0" w:rsidP="00D402D7">
            <w:r w:rsidRPr="00D12842">
              <w:t>U natječajnoj dokumentaciji je navedeno da početak provedbe aktivnosti započinje s datumom potpisivanja ugovora o dodjeli bespovratnih sredstava. S obzirom na navedeno, molimo Vas informaciju koji datum napisati kao početak provedbe aktivnosti u okviru projektnog prijedloga.</w:t>
            </w:r>
          </w:p>
        </w:tc>
        <w:tc>
          <w:tcPr>
            <w:tcW w:w="5103" w:type="dxa"/>
          </w:tcPr>
          <w:p w14:paraId="55A755F1" w14:textId="77777777" w:rsidR="00D12842" w:rsidRPr="00D12842" w:rsidRDefault="00DD00F0" w:rsidP="00230724">
            <w:pPr>
              <w:pStyle w:val="FootnoteText"/>
              <w:rPr>
                <w:rFonts w:asciiTheme="minorHAnsi" w:eastAsia="Times New Roman" w:hAnsiTheme="minorHAnsi" w:cstheme="minorBidi"/>
                <w:noProof/>
                <w:sz w:val="22"/>
                <w:szCs w:val="22"/>
                <w:lang w:val="hr-HR" w:eastAsia="en-US"/>
              </w:rPr>
            </w:pPr>
            <w:r w:rsidRPr="00D12842">
              <w:rPr>
                <w:rFonts w:asciiTheme="minorHAnsi" w:eastAsia="Times New Roman" w:hAnsiTheme="minorHAnsi" w:cstheme="minorBidi"/>
                <w:noProof/>
                <w:sz w:val="22"/>
                <w:szCs w:val="22"/>
                <w:lang w:val="hr-HR" w:eastAsia="en-US"/>
              </w:rPr>
              <w:t xml:space="preserve">Predlažemo da se u projektnom prijedlogu navede početak provedbe najmanje 6 mjeseci nakon isteka roka za dostavu projektnog prijedloga. </w:t>
            </w:r>
          </w:p>
          <w:p w14:paraId="3A05BE86" w14:textId="77777777" w:rsidR="009B1055" w:rsidRDefault="009B1055" w:rsidP="00230724">
            <w:pPr>
              <w:pStyle w:val="FootnoteText"/>
              <w:rPr>
                <w:rFonts w:asciiTheme="minorHAnsi" w:eastAsia="Times New Roman" w:hAnsiTheme="minorHAnsi" w:cstheme="minorBidi"/>
                <w:noProof/>
                <w:sz w:val="22"/>
                <w:szCs w:val="22"/>
                <w:lang w:val="hr-HR" w:eastAsia="en-US"/>
              </w:rPr>
            </w:pPr>
          </w:p>
          <w:p w14:paraId="5DA1231F" w14:textId="55A51AE6" w:rsidR="00DD00F0" w:rsidRPr="00D12842" w:rsidRDefault="00D12842" w:rsidP="00230724">
            <w:pPr>
              <w:pStyle w:val="FootnoteText"/>
              <w:rPr>
                <w:rFonts w:asciiTheme="minorHAnsi" w:eastAsia="Times New Roman" w:hAnsiTheme="minorHAnsi" w:cstheme="minorBidi"/>
                <w:noProof/>
                <w:sz w:val="22"/>
                <w:szCs w:val="22"/>
                <w:lang w:val="hr-HR" w:eastAsia="en-US"/>
              </w:rPr>
            </w:pPr>
            <w:r w:rsidRPr="00D12842">
              <w:rPr>
                <w:rFonts w:asciiTheme="minorHAnsi" w:eastAsia="Times New Roman" w:hAnsiTheme="minorHAnsi" w:cstheme="minorBidi"/>
                <w:noProof/>
                <w:sz w:val="22"/>
                <w:szCs w:val="22"/>
                <w:lang w:val="hr-HR" w:eastAsia="en-US"/>
              </w:rPr>
              <w:t>Ujedno napominjemo da će prijavitelji, čiji projekti budu predloženi za financiranje, prilikom provjere prihvatljivosti izdataka biti u mogućnosti promijeniti ili prilagoditi početak određenih aktivnosti sukladno novonastalim vremenskim okvirima.</w:t>
            </w:r>
          </w:p>
        </w:tc>
      </w:tr>
      <w:tr w:rsidR="00DD00F0" w:rsidRPr="007060DE" w14:paraId="4A6DE83C" w14:textId="77777777" w:rsidTr="00DD00F0">
        <w:tc>
          <w:tcPr>
            <w:tcW w:w="562" w:type="dxa"/>
          </w:tcPr>
          <w:p w14:paraId="24A946B1" w14:textId="77777777" w:rsidR="00DD00F0" w:rsidRPr="007060DE" w:rsidRDefault="00DD00F0" w:rsidP="004F64B9">
            <w:pPr>
              <w:rPr>
                <w:rFonts w:eastAsia="Times New Roman"/>
              </w:rPr>
            </w:pPr>
            <w:r w:rsidRPr="007060DE">
              <w:rPr>
                <w:rFonts w:eastAsia="Times New Roman"/>
              </w:rPr>
              <w:t>16</w:t>
            </w:r>
          </w:p>
        </w:tc>
        <w:tc>
          <w:tcPr>
            <w:tcW w:w="3828" w:type="dxa"/>
          </w:tcPr>
          <w:p w14:paraId="3D6FF565" w14:textId="7BDF3883" w:rsidR="00DD00F0" w:rsidRPr="004F64B9" w:rsidRDefault="00DD00F0" w:rsidP="00600046">
            <w:r>
              <w:t>S obzirom na ciljeve Poziva, je li poželjno u projektni prijedlog uključiti veći broj partnera, i od strane civilnog, i od strane javnog sektora? Odnosno, ostvaruju li se dodatni bodovi ukoliko je projektni prijedlog uključuje veći broj partnera?</w:t>
            </w:r>
          </w:p>
        </w:tc>
        <w:tc>
          <w:tcPr>
            <w:tcW w:w="5103" w:type="dxa"/>
          </w:tcPr>
          <w:p w14:paraId="073C0CD4" w14:textId="77777777" w:rsidR="00DD00F0" w:rsidRDefault="00DD00F0" w:rsidP="008C1A30">
            <w:pPr>
              <w:pStyle w:val="FootnoteText"/>
              <w:rPr>
                <w:rFonts w:asciiTheme="minorHAnsi" w:eastAsiaTheme="minorHAnsi" w:hAnsiTheme="minorHAnsi" w:cstheme="minorBidi"/>
                <w:sz w:val="22"/>
                <w:szCs w:val="22"/>
                <w:lang w:val="hr-HR" w:eastAsia="en-US"/>
              </w:rPr>
            </w:pPr>
            <w:r>
              <w:rPr>
                <w:rFonts w:asciiTheme="minorHAnsi" w:eastAsia="Times New Roman" w:hAnsiTheme="minorHAnsi" w:cstheme="minorBidi"/>
                <w:noProof/>
                <w:sz w:val="22"/>
                <w:szCs w:val="22"/>
                <w:lang w:val="hr-HR" w:eastAsia="en-US"/>
              </w:rPr>
              <w:t xml:space="preserve">Opseg i broj pravnih osoba uključenih u projektno partnerstvo ovisi o ciljevima projektnog prijedloga te planiranim projektnim aktivnostima. </w:t>
            </w:r>
            <w:r>
              <w:rPr>
                <w:rFonts w:asciiTheme="minorHAnsi" w:eastAsiaTheme="minorHAnsi" w:hAnsiTheme="minorHAnsi" w:cstheme="minorBidi"/>
                <w:sz w:val="22"/>
                <w:szCs w:val="22"/>
                <w:lang w:val="hr-HR" w:eastAsia="en-US"/>
              </w:rPr>
              <w:t xml:space="preserve">U okviru kriterija dodjele 4.3 </w:t>
            </w:r>
            <w:r w:rsidRPr="00107E41">
              <w:rPr>
                <w:rFonts w:asciiTheme="minorHAnsi" w:eastAsiaTheme="minorHAnsi" w:hAnsiTheme="minorHAnsi" w:cstheme="minorBidi"/>
                <w:i/>
                <w:sz w:val="22"/>
                <w:szCs w:val="22"/>
                <w:lang w:val="hr-HR" w:eastAsia="en-US"/>
              </w:rPr>
              <w:t>Opseg, uloge, odgovornosti i učinkovitost partnerstva</w:t>
            </w:r>
            <w:r>
              <w:rPr>
                <w:rFonts w:asciiTheme="minorHAnsi" w:eastAsiaTheme="minorHAnsi" w:hAnsiTheme="minorHAnsi" w:cstheme="minorBidi"/>
                <w:sz w:val="22"/>
                <w:szCs w:val="22"/>
                <w:lang w:val="hr-HR" w:eastAsia="en-US"/>
              </w:rPr>
              <w:t xml:space="preserve"> (navedenom u točki </w:t>
            </w:r>
            <w:r w:rsidRPr="00107E41">
              <w:rPr>
                <w:rFonts w:asciiTheme="minorHAnsi" w:eastAsiaTheme="minorHAnsi" w:hAnsiTheme="minorHAnsi" w:cstheme="minorBidi"/>
                <w:sz w:val="22"/>
                <w:szCs w:val="22"/>
                <w:lang w:val="hr-HR" w:eastAsia="en-US"/>
              </w:rPr>
              <w:t xml:space="preserve">6.2 </w:t>
            </w:r>
            <w:r w:rsidRPr="00107E41">
              <w:rPr>
                <w:rFonts w:asciiTheme="minorHAnsi" w:eastAsiaTheme="minorHAnsi" w:hAnsiTheme="minorHAnsi" w:cstheme="minorBidi"/>
                <w:i/>
                <w:sz w:val="22"/>
                <w:szCs w:val="22"/>
                <w:lang w:val="hr-HR" w:eastAsia="en-US"/>
              </w:rPr>
              <w:t>Procjena kvalitete</w:t>
            </w:r>
            <w:r>
              <w:rPr>
                <w:rFonts w:asciiTheme="minorHAnsi" w:eastAsiaTheme="minorHAnsi" w:hAnsiTheme="minorHAnsi" w:cstheme="minorBidi"/>
                <w:sz w:val="22"/>
                <w:szCs w:val="22"/>
                <w:lang w:val="hr-HR" w:eastAsia="en-US"/>
              </w:rPr>
              <w:t xml:space="preserve"> Uputa za prijavitelje) ocjenjivat će se doprinos </w:t>
            </w:r>
            <w:r w:rsidRPr="00107E41">
              <w:rPr>
                <w:rFonts w:asciiTheme="minorHAnsi" w:eastAsiaTheme="minorHAnsi" w:hAnsiTheme="minorHAnsi" w:cstheme="minorBidi"/>
                <w:sz w:val="22"/>
                <w:szCs w:val="22"/>
                <w:lang w:val="hr-HR" w:eastAsia="en-US"/>
              </w:rPr>
              <w:t>partnerstv</w:t>
            </w:r>
            <w:r>
              <w:rPr>
                <w:rFonts w:asciiTheme="minorHAnsi" w:eastAsiaTheme="minorHAnsi" w:hAnsiTheme="minorHAnsi" w:cstheme="minorBidi"/>
                <w:sz w:val="22"/>
                <w:szCs w:val="22"/>
                <w:lang w:val="hr-HR" w:eastAsia="en-US"/>
              </w:rPr>
              <w:t>a</w:t>
            </w:r>
            <w:r w:rsidRPr="00107E41">
              <w:rPr>
                <w:rFonts w:asciiTheme="minorHAnsi" w:eastAsiaTheme="minorHAnsi" w:hAnsiTheme="minorHAnsi" w:cstheme="minorBidi"/>
                <w:sz w:val="22"/>
                <w:szCs w:val="22"/>
                <w:lang w:val="hr-HR" w:eastAsia="en-US"/>
              </w:rPr>
              <w:t xml:space="preserve"> ostvarivanju ciljeva projektnog prijedloga i Poziva</w:t>
            </w:r>
            <w:r>
              <w:rPr>
                <w:rFonts w:asciiTheme="minorHAnsi" w:eastAsiaTheme="minorHAnsi" w:hAnsiTheme="minorHAnsi" w:cstheme="minorBidi"/>
                <w:sz w:val="22"/>
                <w:szCs w:val="22"/>
                <w:lang w:val="hr-HR" w:eastAsia="en-US"/>
              </w:rPr>
              <w:t xml:space="preserve">, s obzirom na </w:t>
            </w:r>
            <w:r w:rsidRPr="00107E41">
              <w:rPr>
                <w:rFonts w:asciiTheme="minorHAnsi" w:eastAsiaTheme="minorHAnsi" w:hAnsiTheme="minorHAnsi" w:cstheme="minorBidi"/>
                <w:sz w:val="22"/>
                <w:szCs w:val="22"/>
                <w:lang w:val="hr-HR" w:eastAsia="en-US"/>
              </w:rPr>
              <w:t xml:space="preserve">broj partnera i područje njihova djelovanja te podjelu </w:t>
            </w:r>
            <w:r>
              <w:rPr>
                <w:rFonts w:asciiTheme="minorHAnsi" w:eastAsiaTheme="minorHAnsi" w:hAnsiTheme="minorHAnsi" w:cstheme="minorBidi"/>
                <w:sz w:val="22"/>
                <w:szCs w:val="22"/>
                <w:lang w:val="hr-HR" w:eastAsia="en-US"/>
              </w:rPr>
              <w:t xml:space="preserve">njihovih </w:t>
            </w:r>
            <w:r w:rsidRPr="00107E41">
              <w:rPr>
                <w:rFonts w:asciiTheme="minorHAnsi" w:eastAsiaTheme="minorHAnsi" w:hAnsiTheme="minorHAnsi" w:cstheme="minorBidi"/>
                <w:sz w:val="22"/>
                <w:szCs w:val="22"/>
                <w:lang w:val="hr-HR" w:eastAsia="en-US"/>
              </w:rPr>
              <w:t>uloga i odgovornosti</w:t>
            </w:r>
            <w:r>
              <w:rPr>
                <w:rFonts w:asciiTheme="minorHAnsi" w:eastAsiaTheme="minorHAnsi" w:hAnsiTheme="minorHAnsi" w:cstheme="minorBidi"/>
                <w:sz w:val="22"/>
                <w:szCs w:val="22"/>
                <w:lang w:val="hr-HR" w:eastAsia="en-US"/>
              </w:rPr>
              <w:t>.</w:t>
            </w:r>
          </w:p>
          <w:p w14:paraId="0B25F67E" w14:textId="347E562C" w:rsidR="008E641F" w:rsidRPr="006A1E9A" w:rsidRDefault="008E641F" w:rsidP="008C1A30">
            <w:pPr>
              <w:pStyle w:val="FootnoteText"/>
              <w:rPr>
                <w:rFonts w:asciiTheme="minorHAnsi" w:eastAsia="Times New Roman" w:hAnsiTheme="minorHAnsi" w:cstheme="minorBidi"/>
                <w:noProof/>
                <w:sz w:val="22"/>
                <w:szCs w:val="22"/>
                <w:lang w:val="hr-HR" w:eastAsia="en-US"/>
              </w:rPr>
            </w:pPr>
            <w:r>
              <w:rPr>
                <w:rFonts w:asciiTheme="minorHAnsi" w:eastAsiaTheme="minorHAnsi" w:hAnsiTheme="minorHAnsi" w:cstheme="minorBidi"/>
                <w:sz w:val="22"/>
                <w:szCs w:val="22"/>
                <w:lang w:val="hr-HR" w:eastAsia="en-US"/>
              </w:rPr>
              <w:t>Uvjeti za prijavitelje i partneri navedeni su točki 2. Uputa za prijavitelj.</w:t>
            </w:r>
          </w:p>
        </w:tc>
      </w:tr>
      <w:tr w:rsidR="00DD00F0" w:rsidRPr="007060DE" w14:paraId="0A647F6D" w14:textId="77777777" w:rsidTr="00DD00F0">
        <w:tc>
          <w:tcPr>
            <w:tcW w:w="562" w:type="dxa"/>
          </w:tcPr>
          <w:p w14:paraId="50EF3FBC" w14:textId="0A7A9D80" w:rsidR="00DD00F0" w:rsidRPr="007060DE" w:rsidRDefault="00DD00F0" w:rsidP="004F64B9">
            <w:pPr>
              <w:rPr>
                <w:rFonts w:eastAsia="Times New Roman"/>
              </w:rPr>
            </w:pPr>
            <w:r w:rsidRPr="007060DE">
              <w:rPr>
                <w:rFonts w:eastAsia="Times New Roman"/>
              </w:rPr>
              <w:t>1</w:t>
            </w:r>
            <w:r>
              <w:rPr>
                <w:rFonts w:eastAsia="Times New Roman"/>
              </w:rPr>
              <w:t>7</w:t>
            </w:r>
          </w:p>
        </w:tc>
        <w:tc>
          <w:tcPr>
            <w:tcW w:w="3828" w:type="dxa"/>
          </w:tcPr>
          <w:p w14:paraId="7ADC08BF" w14:textId="2202D203" w:rsidR="00DD00F0" w:rsidRPr="007060DE" w:rsidRDefault="00DD00F0" w:rsidP="00700FAB">
            <w:pPr>
              <w:rPr>
                <w:rFonts w:eastAsia="Times New Roman"/>
              </w:rPr>
            </w:pPr>
            <w:r>
              <w:rPr>
                <w:rFonts w:eastAsia="Times New Roman"/>
              </w:rPr>
              <w:t>Je li moguće u okviru projektnog prijedloga financirati projektnu dokumentaciju za adaptaciju uz aktivnost adaptacije prostora?</w:t>
            </w:r>
          </w:p>
        </w:tc>
        <w:tc>
          <w:tcPr>
            <w:tcW w:w="5103" w:type="dxa"/>
          </w:tcPr>
          <w:p w14:paraId="3F827237" w14:textId="03F67E40" w:rsidR="00DD00F0" w:rsidRPr="002E47D9" w:rsidRDefault="00DD00F0" w:rsidP="00700FAB">
            <w:pPr>
              <w:rPr>
                <w:rFonts w:eastAsia="Times New Roman"/>
              </w:rPr>
            </w:pPr>
            <w:r>
              <w:rPr>
                <w:rFonts w:eastAsia="Times New Roman"/>
              </w:rPr>
              <w:t>T</w:t>
            </w:r>
            <w:r w:rsidRPr="00EC4D5E">
              <w:rPr>
                <w:rFonts w:eastAsia="Times New Roman"/>
              </w:rPr>
              <w:t xml:space="preserve">roškovi izrade arhitektonske/tehničke dokumentacije za izvođenje adaptacijskih radova </w:t>
            </w:r>
            <w:r w:rsidRPr="00B545AD">
              <w:rPr>
                <w:rFonts w:eastAsia="Times New Roman"/>
              </w:rPr>
              <w:t xml:space="preserve">nisu prihvatljiv trošak u okviru ovog Poziva. </w:t>
            </w:r>
            <w:r w:rsidRPr="00EC4D5E">
              <w:rPr>
                <w:rFonts w:eastAsia="Times New Roman"/>
              </w:rPr>
              <w:t>Predlažemo da se procjena troškova povezanih s adaptacijom izradi prije predaje projektnog prijedloga kako bi se mogl</w:t>
            </w:r>
            <w:r>
              <w:rPr>
                <w:rFonts w:eastAsia="Times New Roman"/>
              </w:rPr>
              <w:t>i</w:t>
            </w:r>
            <w:r w:rsidRPr="00EC4D5E">
              <w:rPr>
                <w:rFonts w:eastAsia="Times New Roman"/>
              </w:rPr>
              <w:t xml:space="preserve"> utvrditi realni troškovi za potrebe sastavljanja proračuna projektnog prijedloga</w:t>
            </w:r>
            <w:r>
              <w:rPr>
                <w:rFonts w:eastAsia="Times New Roman"/>
              </w:rPr>
              <w:t>.</w:t>
            </w:r>
            <w:r w:rsidRPr="00EC4D5E">
              <w:rPr>
                <w:rFonts w:eastAsia="Times New Roman"/>
              </w:rPr>
              <w:t xml:space="preserve"> </w:t>
            </w:r>
          </w:p>
        </w:tc>
      </w:tr>
      <w:tr w:rsidR="00DD00F0" w:rsidRPr="007060DE" w14:paraId="40A330AF" w14:textId="77777777" w:rsidTr="00DD00F0">
        <w:tc>
          <w:tcPr>
            <w:tcW w:w="562" w:type="dxa"/>
          </w:tcPr>
          <w:p w14:paraId="4C792B19" w14:textId="1CF8E1FD" w:rsidR="00DD00F0" w:rsidRPr="007060DE" w:rsidRDefault="00DD00F0" w:rsidP="00D27AE2">
            <w:pPr>
              <w:rPr>
                <w:rFonts w:eastAsia="Times New Roman"/>
              </w:rPr>
            </w:pPr>
            <w:r w:rsidRPr="00DD00F0">
              <w:rPr>
                <w:rFonts w:eastAsia="Times New Roman"/>
              </w:rPr>
              <w:t>18</w:t>
            </w:r>
          </w:p>
        </w:tc>
        <w:tc>
          <w:tcPr>
            <w:tcW w:w="3828" w:type="dxa"/>
          </w:tcPr>
          <w:p w14:paraId="0BC2DD57" w14:textId="2E32619B" w:rsidR="00DD00F0" w:rsidRPr="00035A86" w:rsidRDefault="00DD00F0" w:rsidP="00D27AE2">
            <w:pPr>
              <w:rPr>
                <w:rFonts w:eastAsia="Times New Roman"/>
              </w:rPr>
            </w:pPr>
            <w:r w:rsidRPr="00D23E61">
              <w:rPr>
                <w:rFonts w:eastAsia="Times New Roman"/>
              </w:rPr>
              <w:t>Imam pitanje vezano uz uključivanje građana u aktivnosti pripreme i provedbe projekta: u kojoj mjeri građani mogu realno biti uključeni u te aktivnosti?</w:t>
            </w:r>
          </w:p>
        </w:tc>
        <w:tc>
          <w:tcPr>
            <w:tcW w:w="5103" w:type="dxa"/>
          </w:tcPr>
          <w:p w14:paraId="5D5FAD05" w14:textId="54955EBC" w:rsidR="00C057A9" w:rsidRPr="00941311" w:rsidRDefault="00DD00F0" w:rsidP="00C057A9">
            <w:pPr>
              <w:pStyle w:val="FootnoteText"/>
              <w:rPr>
                <w:sz w:val="22"/>
                <w:szCs w:val="22"/>
                <w:lang w:val="hr-HR"/>
              </w:rPr>
            </w:pPr>
            <w:r w:rsidRPr="00941311">
              <w:rPr>
                <w:rFonts w:asciiTheme="minorHAnsi" w:eastAsia="Times New Roman" w:hAnsiTheme="minorHAnsi" w:cstheme="minorBidi"/>
                <w:sz w:val="22"/>
                <w:szCs w:val="22"/>
                <w:lang w:val="hr-HR" w:eastAsia="en-US"/>
              </w:rPr>
              <w:t>Aktivnosti koje se financiraju temeljem ovog Poziva prvenstveno se odnose na zagovaranje, razvoj i uspostavu sudioničkog upravljanje odnosno javno-civilno partnerstvo u kulturi</w:t>
            </w:r>
            <w:r w:rsidR="00D90764" w:rsidRPr="00941311">
              <w:rPr>
                <w:rFonts w:asciiTheme="minorHAnsi" w:eastAsia="Times New Roman" w:hAnsiTheme="minorHAnsi" w:cstheme="minorBidi"/>
                <w:sz w:val="22"/>
                <w:szCs w:val="22"/>
                <w:lang w:val="hr-HR" w:eastAsia="en-US"/>
              </w:rPr>
              <w:t>, a n</w:t>
            </w:r>
            <w:r w:rsidRPr="00941311">
              <w:rPr>
                <w:rFonts w:asciiTheme="minorHAnsi" w:eastAsia="Times New Roman" w:hAnsiTheme="minorHAnsi" w:cstheme="minorBidi"/>
                <w:sz w:val="22"/>
                <w:szCs w:val="22"/>
                <w:lang w:val="hr-HR" w:eastAsia="en-US"/>
              </w:rPr>
              <w:t>erazdvojan aspekt sudioništva u javnim sustavima upravljanja je podjela ovlasti s građanima i zajednicom kojoj pripadaju javni resursi o kojima se odluke donose</w:t>
            </w:r>
            <w:r w:rsidR="00C121AF" w:rsidRPr="00941311">
              <w:rPr>
                <w:rFonts w:asciiTheme="minorHAnsi" w:eastAsia="Times New Roman" w:hAnsiTheme="minorHAnsi" w:cstheme="minorBidi"/>
                <w:sz w:val="22"/>
                <w:szCs w:val="22"/>
                <w:lang w:val="hr-HR" w:eastAsia="en-US"/>
              </w:rPr>
              <w:t>.</w:t>
            </w:r>
            <w:r w:rsidRPr="00941311">
              <w:rPr>
                <w:rFonts w:asciiTheme="minorHAnsi" w:eastAsia="Times New Roman" w:hAnsiTheme="minorHAnsi" w:cstheme="minorBidi"/>
                <w:sz w:val="22"/>
                <w:szCs w:val="22"/>
                <w:lang w:val="hr-HR" w:eastAsia="en-US"/>
              </w:rPr>
              <w:t xml:space="preserve"> </w:t>
            </w:r>
            <w:r w:rsidR="00D90764" w:rsidRPr="00941311">
              <w:rPr>
                <w:rFonts w:asciiTheme="minorHAnsi" w:eastAsia="Times New Roman" w:hAnsiTheme="minorHAnsi" w:cstheme="minorBidi"/>
                <w:sz w:val="22"/>
                <w:szCs w:val="22"/>
                <w:lang w:val="hr-HR" w:eastAsia="en-US"/>
              </w:rPr>
              <w:t>Stoga je prijavitelj dužan</w:t>
            </w:r>
            <w:r w:rsidR="0029226D" w:rsidRPr="00941311">
              <w:rPr>
                <w:rFonts w:asciiTheme="minorHAnsi" w:eastAsia="Times New Roman" w:hAnsiTheme="minorHAnsi" w:cstheme="minorBidi"/>
                <w:sz w:val="22"/>
                <w:szCs w:val="22"/>
                <w:lang w:val="hr-HR" w:eastAsia="en-US"/>
              </w:rPr>
              <w:t xml:space="preserve"> </w:t>
            </w:r>
            <w:r w:rsidRPr="00941311">
              <w:rPr>
                <w:rFonts w:asciiTheme="minorHAnsi" w:eastAsia="Times New Roman" w:hAnsiTheme="minorHAnsi" w:cstheme="minorBidi"/>
                <w:sz w:val="22"/>
                <w:szCs w:val="22"/>
                <w:lang w:val="hr-HR" w:eastAsia="en-US"/>
              </w:rPr>
              <w:t>u razradi projektnog prijedloga osmisli</w:t>
            </w:r>
            <w:r w:rsidR="00C057A9" w:rsidRPr="00941311">
              <w:rPr>
                <w:rFonts w:asciiTheme="minorHAnsi" w:eastAsia="Times New Roman" w:hAnsiTheme="minorHAnsi" w:cstheme="minorBidi"/>
                <w:sz w:val="22"/>
                <w:szCs w:val="22"/>
                <w:lang w:val="hr-HR" w:eastAsia="en-US"/>
              </w:rPr>
              <w:t>ti</w:t>
            </w:r>
            <w:r w:rsidRPr="00941311">
              <w:rPr>
                <w:rFonts w:asciiTheme="minorHAnsi" w:eastAsia="Times New Roman" w:hAnsiTheme="minorHAnsi" w:cstheme="minorBidi"/>
                <w:sz w:val="22"/>
                <w:szCs w:val="22"/>
                <w:lang w:val="hr-HR" w:eastAsia="en-US"/>
              </w:rPr>
              <w:t xml:space="preserve"> način </w:t>
            </w:r>
            <w:r w:rsidRPr="00941311">
              <w:rPr>
                <w:rFonts w:asciiTheme="minorHAnsi" w:eastAsia="Times New Roman" w:hAnsiTheme="minorHAnsi" w:cstheme="minorBidi"/>
                <w:sz w:val="22"/>
                <w:szCs w:val="22"/>
                <w:lang w:val="hr-HR" w:eastAsia="en-US"/>
              </w:rPr>
              <w:lastRenderedPageBreak/>
              <w:t>uključivanje građana/lokalne zajednice</w:t>
            </w:r>
            <w:r w:rsidR="00C057A9" w:rsidRPr="00941311">
              <w:rPr>
                <w:rFonts w:asciiTheme="minorHAnsi" w:eastAsia="Times New Roman" w:hAnsiTheme="minorHAnsi" w:cstheme="minorBidi"/>
                <w:sz w:val="22"/>
                <w:szCs w:val="22"/>
                <w:lang w:val="hr-HR" w:eastAsia="en-US"/>
              </w:rPr>
              <w:t xml:space="preserve"> u projektne aktivnosti</w:t>
            </w:r>
            <w:r w:rsidR="00494F67" w:rsidRPr="00941311">
              <w:rPr>
                <w:rFonts w:asciiTheme="minorHAnsi" w:eastAsia="Times New Roman" w:hAnsiTheme="minorHAnsi" w:cstheme="minorBidi"/>
                <w:sz w:val="22"/>
                <w:szCs w:val="22"/>
                <w:lang w:val="hr-HR" w:eastAsia="en-US"/>
              </w:rPr>
              <w:t>.</w:t>
            </w:r>
            <w:r w:rsidRPr="00941311">
              <w:rPr>
                <w:rFonts w:asciiTheme="minorHAnsi" w:eastAsia="Times New Roman" w:hAnsiTheme="minorHAnsi" w:cstheme="minorBidi"/>
                <w:sz w:val="22"/>
                <w:szCs w:val="22"/>
                <w:lang w:val="hr-HR" w:eastAsia="en-US"/>
              </w:rPr>
              <w:t xml:space="preserve"> </w:t>
            </w:r>
            <w:r w:rsidR="001D1B2F" w:rsidRPr="00941311">
              <w:rPr>
                <w:rFonts w:asciiTheme="minorHAnsi" w:eastAsia="Times New Roman" w:hAnsiTheme="minorHAnsi" w:cstheme="minorBidi"/>
                <w:sz w:val="22"/>
                <w:szCs w:val="22"/>
                <w:lang w:val="hr-HR" w:eastAsia="en-US"/>
              </w:rPr>
              <w:t>Razina uključenosti građana u projektne aktivnosti ovisit će prije svega o metodologiju koju je prijavitelj razvio</w:t>
            </w:r>
            <w:r w:rsidR="00941311" w:rsidRPr="00941311">
              <w:rPr>
                <w:rFonts w:asciiTheme="minorHAnsi" w:eastAsia="Times New Roman" w:hAnsiTheme="minorHAnsi" w:cstheme="minorBidi"/>
                <w:sz w:val="22"/>
                <w:szCs w:val="22"/>
                <w:lang w:val="hr-HR" w:eastAsia="en-US"/>
              </w:rPr>
              <w:t>.</w:t>
            </w:r>
            <w:r w:rsidR="001D1B2F" w:rsidRPr="00941311">
              <w:rPr>
                <w:rFonts w:asciiTheme="minorHAnsi" w:eastAsia="Times New Roman" w:hAnsiTheme="minorHAnsi" w:cstheme="minorBidi"/>
                <w:sz w:val="22"/>
                <w:szCs w:val="22"/>
                <w:lang w:val="hr-HR" w:eastAsia="en-US"/>
              </w:rPr>
              <w:t xml:space="preserve"> </w:t>
            </w:r>
            <w:r w:rsidR="00941311" w:rsidRPr="00D12842">
              <w:rPr>
                <w:rFonts w:asciiTheme="minorHAnsi" w:eastAsia="Times New Roman" w:hAnsiTheme="minorHAnsi" w:cstheme="minorBidi"/>
                <w:sz w:val="22"/>
                <w:szCs w:val="22"/>
                <w:lang w:val="hr-HR" w:eastAsia="en-US"/>
              </w:rPr>
              <w:t>G</w:t>
            </w:r>
            <w:r w:rsidR="001D1B2F" w:rsidRPr="00D12842">
              <w:rPr>
                <w:rFonts w:asciiTheme="minorHAnsi" w:eastAsia="Times New Roman" w:hAnsiTheme="minorHAnsi" w:cstheme="minorBidi"/>
                <w:sz w:val="22"/>
                <w:szCs w:val="22"/>
                <w:lang w:val="hr-HR" w:eastAsia="en-US"/>
              </w:rPr>
              <w:t>rađani</w:t>
            </w:r>
            <w:r w:rsidR="00C057A9" w:rsidRPr="00D12842">
              <w:rPr>
                <w:rFonts w:asciiTheme="minorHAnsi" w:eastAsia="Times New Roman" w:hAnsiTheme="minorHAnsi" w:cstheme="minorBidi"/>
                <w:sz w:val="22"/>
                <w:szCs w:val="22"/>
                <w:lang w:val="hr-HR" w:eastAsia="en-US"/>
              </w:rPr>
              <w:t xml:space="preserve"> moraju </w:t>
            </w:r>
            <w:r w:rsidR="00941311" w:rsidRPr="00D12842">
              <w:rPr>
                <w:rFonts w:asciiTheme="minorHAnsi" w:eastAsia="Times New Roman" w:hAnsiTheme="minorHAnsi" w:cstheme="minorBidi"/>
                <w:sz w:val="22"/>
                <w:szCs w:val="22"/>
                <w:lang w:val="hr-HR" w:eastAsia="en-US"/>
              </w:rPr>
              <w:t xml:space="preserve">obavezno </w:t>
            </w:r>
            <w:r w:rsidR="00C057A9" w:rsidRPr="00D12842">
              <w:rPr>
                <w:rFonts w:asciiTheme="minorHAnsi" w:eastAsia="Times New Roman" w:hAnsiTheme="minorHAnsi" w:cstheme="minorBidi"/>
                <w:sz w:val="22"/>
                <w:szCs w:val="22"/>
                <w:lang w:val="hr-HR" w:eastAsia="en-US"/>
              </w:rPr>
              <w:t>biti aktivno uključeni</w:t>
            </w:r>
            <w:r w:rsidR="00C057A9" w:rsidRPr="00D12842">
              <w:rPr>
                <w:sz w:val="22"/>
                <w:szCs w:val="22"/>
                <w:lang w:val="hr-HR"/>
              </w:rPr>
              <w:t xml:space="preserve"> u provedbu elementa 2. skupine aktivnosti A. Dodatno, u elementu 3. skupine aktivnosti A i elementu 1. skupine aktivnosti B (aktivnost razmjene i/ili zajedničke pripreme i provedbe kulturnih i umjetničkih programa) poželjno je uključivanje lokalne zajednice u projektne aktivnosti.</w:t>
            </w:r>
            <w:r w:rsidR="00C057A9" w:rsidRPr="00941311">
              <w:rPr>
                <w:sz w:val="22"/>
                <w:szCs w:val="22"/>
                <w:lang w:val="hr-HR"/>
              </w:rPr>
              <w:t xml:space="preserve"> </w:t>
            </w:r>
          </w:p>
          <w:p w14:paraId="4DB1FF7D" w14:textId="31284BC2" w:rsidR="00DD00F0" w:rsidRPr="00226004" w:rsidRDefault="00DD00F0" w:rsidP="00C057A9">
            <w:pPr>
              <w:rPr>
                <w:rFonts w:eastAsia="Times New Roman"/>
              </w:rPr>
            </w:pPr>
            <w:r>
              <w:rPr>
                <w:rFonts w:eastAsia="Times New Roman"/>
              </w:rPr>
              <w:t xml:space="preserve">Stupanj uključenosti građana u navedene aktivnosti ocjenjuje se u okviru kriterija </w:t>
            </w:r>
            <w:r w:rsidRPr="00653F10">
              <w:rPr>
                <w:rFonts w:eastAsia="Times New Roman"/>
              </w:rPr>
              <w:t xml:space="preserve">4.1 </w:t>
            </w:r>
            <w:r>
              <w:rPr>
                <w:rFonts w:eastAsia="Times New Roman"/>
              </w:rPr>
              <w:t>„</w:t>
            </w:r>
            <w:r w:rsidRPr="00653F10">
              <w:rPr>
                <w:rFonts w:eastAsia="Times New Roman"/>
              </w:rPr>
              <w:t>Uključenost građana u procese planiranja, programiranja, odlučivanja i upravljanja u kulturi</w:t>
            </w:r>
            <w:r>
              <w:rPr>
                <w:rFonts w:eastAsia="Times New Roman"/>
              </w:rPr>
              <w:t xml:space="preserve">“ navedenog pod točkom </w:t>
            </w:r>
            <w:r w:rsidRPr="00653F10">
              <w:rPr>
                <w:rFonts w:eastAsia="Times New Roman"/>
              </w:rPr>
              <w:t xml:space="preserve">6.2 </w:t>
            </w:r>
            <w:r w:rsidRPr="00653F10">
              <w:rPr>
                <w:rFonts w:eastAsia="Times New Roman"/>
                <w:i/>
              </w:rPr>
              <w:t>Procjena kvalitete</w:t>
            </w:r>
            <w:r>
              <w:rPr>
                <w:rFonts w:eastAsia="Times New Roman"/>
              </w:rPr>
              <w:t xml:space="preserve"> Uputa za prijavitelje.</w:t>
            </w:r>
          </w:p>
        </w:tc>
      </w:tr>
      <w:tr w:rsidR="00DD00F0" w:rsidRPr="007060DE" w14:paraId="4387B6E5" w14:textId="77777777" w:rsidTr="00DD00F0">
        <w:tc>
          <w:tcPr>
            <w:tcW w:w="562" w:type="dxa"/>
          </w:tcPr>
          <w:p w14:paraId="4F8F6DFC" w14:textId="0E30D241" w:rsidR="00DD00F0" w:rsidRPr="007060DE" w:rsidRDefault="00DD00F0" w:rsidP="00D27AE2">
            <w:pPr>
              <w:rPr>
                <w:rFonts w:eastAsia="Times New Roman"/>
              </w:rPr>
            </w:pPr>
            <w:r>
              <w:rPr>
                <w:rFonts w:eastAsia="Times New Roman"/>
              </w:rPr>
              <w:lastRenderedPageBreak/>
              <w:t>19</w:t>
            </w:r>
          </w:p>
        </w:tc>
        <w:tc>
          <w:tcPr>
            <w:tcW w:w="3828" w:type="dxa"/>
          </w:tcPr>
          <w:p w14:paraId="1BC202AF" w14:textId="4B384067" w:rsidR="00DD00F0" w:rsidRPr="003E6954" w:rsidRDefault="00DD00F0" w:rsidP="00600046">
            <w:r w:rsidRPr="00D23E61">
              <w:t>Vezano uz aktivnosti razvoja publike, u kojoj mjeri publika (koja je sama po sebi dosta pasivna) treba biti uključena u projektne aktivnosti kako bi projekt dobio na kvaliteti?</w:t>
            </w:r>
          </w:p>
        </w:tc>
        <w:tc>
          <w:tcPr>
            <w:tcW w:w="5103" w:type="dxa"/>
          </w:tcPr>
          <w:p w14:paraId="3C8A3048" w14:textId="77777777" w:rsidR="00DD00F0" w:rsidRPr="00941311" w:rsidRDefault="00DD00F0" w:rsidP="00046CBC">
            <w:pPr>
              <w:pStyle w:val="FootnoteText"/>
              <w:rPr>
                <w:sz w:val="22"/>
                <w:szCs w:val="22"/>
                <w:lang w:val="hr-HR"/>
              </w:rPr>
            </w:pPr>
            <w:r w:rsidRPr="00941311">
              <w:rPr>
                <w:sz w:val="22"/>
                <w:szCs w:val="22"/>
                <w:lang w:val="hr-HR"/>
              </w:rPr>
              <w:t xml:space="preserve">Aktivnost razvoja publike nije obavezan dio projektnog prijedloga, no prihvatljiva je aktivnost u okviru elementa 3. skupine aktivnosti A te elementa 1. skupine aktivnosti B. </w:t>
            </w:r>
          </w:p>
          <w:p w14:paraId="07141B2B" w14:textId="77777777" w:rsidR="00DD00F0" w:rsidRPr="00941311" w:rsidRDefault="00DD00F0" w:rsidP="00046CBC">
            <w:pPr>
              <w:pStyle w:val="FootnoteText"/>
              <w:rPr>
                <w:sz w:val="22"/>
                <w:szCs w:val="22"/>
                <w:lang w:val="hr-HR"/>
              </w:rPr>
            </w:pPr>
          </w:p>
          <w:p w14:paraId="2962EE41" w14:textId="77777777" w:rsidR="00DD00F0" w:rsidRPr="00941311" w:rsidRDefault="00DD00F0" w:rsidP="00046CBC">
            <w:pPr>
              <w:pStyle w:val="FootnoteText"/>
              <w:rPr>
                <w:sz w:val="22"/>
                <w:szCs w:val="22"/>
                <w:lang w:val="hr-HR"/>
              </w:rPr>
            </w:pPr>
            <w:r w:rsidRPr="00941311">
              <w:rPr>
                <w:sz w:val="22"/>
                <w:szCs w:val="22"/>
                <w:lang w:val="hr-HR"/>
              </w:rPr>
              <w:t xml:space="preserve">U Uputama za prijavitelje navedeno je da lokalna zajednica mora biti aktivno uključena u provedbu elementa 2. skupine aktivnosti A. </w:t>
            </w:r>
          </w:p>
          <w:p w14:paraId="3B169539" w14:textId="77777777" w:rsidR="00DD00F0" w:rsidRPr="00941311" w:rsidRDefault="00DD00F0" w:rsidP="00DD00F0">
            <w:pPr>
              <w:pStyle w:val="FootnoteText"/>
              <w:rPr>
                <w:sz w:val="22"/>
                <w:szCs w:val="22"/>
                <w:lang w:val="hr-HR"/>
              </w:rPr>
            </w:pPr>
            <w:r w:rsidRPr="00941311">
              <w:rPr>
                <w:sz w:val="22"/>
                <w:szCs w:val="22"/>
                <w:lang w:val="hr-HR"/>
              </w:rPr>
              <w:t xml:space="preserve">Dodatno, u elementu 3. skupine aktivnosti A i elementu 1. skupine aktivnosti B (aktivnost razmjene i/ili zajedničke pripreme i provedbe kulturnih i umjetničkih programa) poželjno je uključivanje lokalne zajednice u projektne aktivnosti. </w:t>
            </w:r>
          </w:p>
          <w:p w14:paraId="586195B7" w14:textId="77777777" w:rsidR="00DD00F0" w:rsidRPr="00941311" w:rsidRDefault="00DD00F0" w:rsidP="00DD00F0">
            <w:pPr>
              <w:pStyle w:val="FootnoteText"/>
              <w:rPr>
                <w:sz w:val="22"/>
                <w:szCs w:val="22"/>
                <w:lang w:val="hr-HR"/>
              </w:rPr>
            </w:pPr>
          </w:p>
          <w:p w14:paraId="7CEDA2B3" w14:textId="6C677788" w:rsidR="00DD00F0" w:rsidRPr="00F00E72" w:rsidRDefault="00DD00F0" w:rsidP="00DD00F0">
            <w:pPr>
              <w:pStyle w:val="FootnoteText"/>
              <w:rPr>
                <w:sz w:val="22"/>
                <w:szCs w:val="22"/>
                <w:lang w:val="hr-HR"/>
              </w:rPr>
            </w:pPr>
            <w:r w:rsidRPr="00941311">
              <w:rPr>
                <w:sz w:val="22"/>
                <w:szCs w:val="22"/>
                <w:lang w:val="hr-HR"/>
              </w:rPr>
              <w:t xml:space="preserve">Stupanj uključenosti građana u navedene aktivnosti ocjenjuje se u okviru kriterija 4.1 „Uključenost građana u procese planiranja, programiranja, odlučivanja i upravljanja u kulturi“ navedenog pod točkom 6.2 </w:t>
            </w:r>
            <w:r w:rsidRPr="00941311">
              <w:rPr>
                <w:i/>
                <w:sz w:val="22"/>
                <w:szCs w:val="22"/>
                <w:lang w:val="hr-HR"/>
              </w:rPr>
              <w:t>Procjena kvalitete</w:t>
            </w:r>
            <w:r w:rsidRPr="00941311">
              <w:rPr>
                <w:sz w:val="22"/>
                <w:szCs w:val="22"/>
                <w:lang w:val="hr-HR"/>
              </w:rPr>
              <w:t xml:space="preserve"> Uputa za prijavitelje.</w:t>
            </w:r>
          </w:p>
        </w:tc>
      </w:tr>
      <w:tr w:rsidR="00DD00F0" w:rsidRPr="007060DE" w14:paraId="783520D2" w14:textId="77777777" w:rsidTr="00DD00F0">
        <w:tc>
          <w:tcPr>
            <w:tcW w:w="562" w:type="dxa"/>
          </w:tcPr>
          <w:p w14:paraId="4880516C" w14:textId="43607318" w:rsidR="00DD00F0" w:rsidRPr="007060DE" w:rsidRDefault="00DD00F0" w:rsidP="00D27AE2">
            <w:pPr>
              <w:rPr>
                <w:rFonts w:eastAsia="Times New Roman"/>
              </w:rPr>
            </w:pPr>
            <w:r w:rsidRPr="007060DE">
              <w:rPr>
                <w:rFonts w:eastAsia="Times New Roman"/>
              </w:rPr>
              <w:t>2</w:t>
            </w:r>
            <w:r>
              <w:rPr>
                <w:rFonts w:eastAsia="Times New Roman"/>
              </w:rPr>
              <w:t>0</w:t>
            </w:r>
          </w:p>
        </w:tc>
        <w:tc>
          <w:tcPr>
            <w:tcW w:w="3828" w:type="dxa"/>
          </w:tcPr>
          <w:p w14:paraId="7CB7FF8A" w14:textId="00E4D4E4" w:rsidR="00DD00F0" w:rsidRPr="007060DE" w:rsidRDefault="00DD00F0" w:rsidP="00653F10">
            <w:pPr>
              <w:rPr>
                <w:rFonts w:eastAsia="Times New Roman"/>
              </w:rPr>
            </w:pPr>
            <w:r w:rsidRPr="00560323">
              <w:rPr>
                <w:rFonts w:eastAsia="Times New Roman"/>
              </w:rPr>
              <w:t>Navedeno je da se projektni prijedlozi podnose isključivo poštanskom pošiljkom. Koje je naše osiguranje u slučaju ako se omotnica s projektnim prijedlogom zagubi u poštanskoj dostavi?</w:t>
            </w:r>
          </w:p>
        </w:tc>
        <w:tc>
          <w:tcPr>
            <w:tcW w:w="5103" w:type="dxa"/>
          </w:tcPr>
          <w:p w14:paraId="57F61B8B" w14:textId="77777777" w:rsidR="00D12842" w:rsidRDefault="00DD00F0" w:rsidP="00600046">
            <w:pPr>
              <w:rPr>
                <w:rFonts w:eastAsia="Times New Roman"/>
                <w:noProof/>
              </w:rPr>
            </w:pPr>
            <w:r>
              <w:rPr>
                <w:rFonts w:eastAsia="Times New Roman"/>
                <w:noProof/>
              </w:rPr>
              <w:t xml:space="preserve">Sukladno točki </w:t>
            </w:r>
            <w:r w:rsidRPr="00F46C48">
              <w:rPr>
                <w:rFonts w:eastAsia="Times New Roman"/>
                <w:noProof/>
              </w:rPr>
              <w:t xml:space="preserve">5.1 </w:t>
            </w:r>
            <w:r w:rsidRPr="00F46C48">
              <w:rPr>
                <w:rFonts w:eastAsia="Times New Roman"/>
                <w:i/>
                <w:noProof/>
              </w:rPr>
              <w:t>Način podnošenja projektnog prijedloga</w:t>
            </w:r>
            <w:r w:rsidRPr="00F46C48">
              <w:rPr>
                <w:rFonts w:eastAsia="Times New Roman"/>
                <w:noProof/>
              </w:rPr>
              <w:t xml:space="preserve"> </w:t>
            </w:r>
            <w:r>
              <w:rPr>
                <w:rFonts w:eastAsia="Times New Roman"/>
                <w:noProof/>
              </w:rPr>
              <w:t>Uputa za prijavitelje, p</w:t>
            </w:r>
            <w:r w:rsidRPr="00F46C48">
              <w:rPr>
                <w:rFonts w:eastAsia="Times New Roman"/>
                <w:noProof/>
              </w:rPr>
              <w:t>ojektni prijedlozi podnose se isključivo preporučenom poštanskom pošiljkom</w:t>
            </w:r>
            <w:r>
              <w:rPr>
                <w:rFonts w:eastAsia="Times New Roman"/>
                <w:noProof/>
              </w:rPr>
              <w:t xml:space="preserve">. </w:t>
            </w:r>
          </w:p>
          <w:p w14:paraId="39D33F6E" w14:textId="096B3092" w:rsidR="00DD00F0" w:rsidRPr="003D6EDD" w:rsidRDefault="00D12842" w:rsidP="00600046">
            <w:pPr>
              <w:rPr>
                <w:rFonts w:eastAsia="Times New Roman"/>
                <w:noProof/>
              </w:rPr>
            </w:pPr>
            <w:r w:rsidRPr="00D12842">
              <w:rPr>
                <w:rFonts w:eastAsia="Times New Roman"/>
                <w:noProof/>
              </w:rPr>
              <w:t>Ukoliko se pošiljka pošalje preporučen</w:t>
            </w:r>
            <w:r>
              <w:rPr>
                <w:rFonts w:eastAsia="Times New Roman"/>
                <w:noProof/>
              </w:rPr>
              <w:t>o,</w:t>
            </w:r>
            <w:r w:rsidRPr="00D12842">
              <w:rPr>
                <w:rFonts w:eastAsia="Times New Roman"/>
                <w:noProof/>
              </w:rPr>
              <w:t xml:space="preserve"> moguće je na mrežnim stranicama Hrvatske pošte pratiti </w:t>
            </w:r>
            <w:r w:rsidR="00560323" w:rsidRPr="00560323">
              <w:rPr>
                <w:rFonts w:eastAsia="Times New Roman"/>
                <w:noProof/>
              </w:rPr>
              <w:t>informacij</w:t>
            </w:r>
            <w:r w:rsidR="00560323">
              <w:rPr>
                <w:rFonts w:eastAsia="Times New Roman"/>
                <w:noProof/>
              </w:rPr>
              <w:t>e</w:t>
            </w:r>
            <w:r w:rsidR="00560323" w:rsidRPr="00560323">
              <w:rPr>
                <w:rFonts w:eastAsia="Times New Roman"/>
                <w:noProof/>
              </w:rPr>
              <w:t xml:space="preserve"> o statusu pošiljke</w:t>
            </w:r>
            <w:r w:rsidR="00560323">
              <w:rPr>
                <w:rFonts w:eastAsia="Times New Roman"/>
                <w:noProof/>
              </w:rPr>
              <w:t>. Ujedno napominjemo da dosad</w:t>
            </w:r>
            <w:r w:rsidRPr="00D12842">
              <w:rPr>
                <w:rFonts w:eastAsia="Times New Roman"/>
                <w:noProof/>
              </w:rPr>
              <w:t xml:space="preserve"> nismo imali slučaj gubitka pošiljke prilikom poštanske dostave. </w:t>
            </w:r>
          </w:p>
        </w:tc>
      </w:tr>
      <w:tr w:rsidR="00DD00F0" w:rsidRPr="007060DE" w14:paraId="38FEA194" w14:textId="77777777" w:rsidTr="00DD00F0">
        <w:tc>
          <w:tcPr>
            <w:tcW w:w="562" w:type="dxa"/>
          </w:tcPr>
          <w:p w14:paraId="29390B88" w14:textId="13A53149" w:rsidR="00DD00F0" w:rsidRPr="007060DE" w:rsidRDefault="00DD00F0" w:rsidP="00D27AE2">
            <w:pPr>
              <w:rPr>
                <w:rFonts w:eastAsia="Times New Roman"/>
              </w:rPr>
            </w:pPr>
            <w:r w:rsidRPr="007060DE">
              <w:rPr>
                <w:rFonts w:eastAsia="Times New Roman"/>
              </w:rPr>
              <w:t>2</w:t>
            </w:r>
            <w:r>
              <w:rPr>
                <w:rFonts w:eastAsia="Times New Roman"/>
              </w:rPr>
              <w:t>1</w:t>
            </w:r>
          </w:p>
        </w:tc>
        <w:tc>
          <w:tcPr>
            <w:tcW w:w="3828" w:type="dxa"/>
          </w:tcPr>
          <w:p w14:paraId="7941C6C3" w14:textId="4FF998C1" w:rsidR="00DD00F0" w:rsidRPr="000C3A5E" w:rsidRDefault="00DD00F0" w:rsidP="00FD4568">
            <w:pPr>
              <w:rPr>
                <w:rFonts w:ascii="Calibri" w:eastAsia="Times New Roman" w:hAnsi="Calibri" w:cs="Calibri"/>
                <w:color w:val="000000"/>
              </w:rPr>
            </w:pPr>
            <w:r>
              <w:rPr>
                <w:rFonts w:ascii="Calibri" w:eastAsia="Times New Roman" w:hAnsi="Calibri" w:cs="Calibri"/>
                <w:color w:val="000000"/>
              </w:rPr>
              <w:t>Može li partner na projektnom prijedlogu biti javna ustanova u kulturi koja je osnovana u javno-civilnom partnerstvu između udruge i jedinice lokalne samouprave koja je mlađa od 12 mjeseci?</w:t>
            </w:r>
          </w:p>
        </w:tc>
        <w:tc>
          <w:tcPr>
            <w:tcW w:w="5103" w:type="dxa"/>
          </w:tcPr>
          <w:p w14:paraId="6B731522" w14:textId="0B0340B1" w:rsidR="00DD00F0" w:rsidRPr="00A00045" w:rsidRDefault="00DD00F0" w:rsidP="001D5738">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Ne. Sukladno točki </w:t>
            </w:r>
            <w:r w:rsidRPr="00A00045">
              <w:rPr>
                <w:rFonts w:asciiTheme="minorHAnsi" w:eastAsia="Times New Roman" w:hAnsiTheme="minorHAnsi" w:cstheme="minorBidi"/>
                <w:noProof/>
                <w:sz w:val="22"/>
                <w:szCs w:val="22"/>
                <w:lang w:val="hr-HR" w:eastAsia="en-US"/>
              </w:rPr>
              <w:t xml:space="preserve">2.2 </w:t>
            </w:r>
            <w:r w:rsidRPr="00A00045">
              <w:rPr>
                <w:rFonts w:asciiTheme="minorHAnsi" w:eastAsia="Times New Roman" w:hAnsiTheme="minorHAnsi" w:cstheme="minorBidi"/>
                <w:i/>
                <w:noProof/>
                <w:sz w:val="22"/>
                <w:szCs w:val="22"/>
                <w:lang w:val="hr-HR" w:eastAsia="en-US"/>
              </w:rPr>
              <w:t>Uvjeti prihvatljivosti prijavitelja/</w:t>
            </w:r>
            <w:r>
              <w:rPr>
                <w:rFonts w:asciiTheme="minorHAnsi" w:eastAsia="Times New Roman" w:hAnsiTheme="minorHAnsi" w:cstheme="minorBidi"/>
                <w:i/>
                <w:noProof/>
                <w:sz w:val="22"/>
                <w:szCs w:val="22"/>
                <w:lang w:val="hr-HR" w:eastAsia="en-US"/>
              </w:rPr>
              <w:t xml:space="preserve"> </w:t>
            </w:r>
            <w:r w:rsidRPr="00A00045">
              <w:rPr>
                <w:rFonts w:asciiTheme="minorHAnsi" w:eastAsia="Times New Roman" w:hAnsiTheme="minorHAnsi" w:cstheme="minorBidi"/>
                <w:i/>
                <w:noProof/>
                <w:sz w:val="22"/>
                <w:szCs w:val="22"/>
                <w:lang w:val="hr-HR" w:eastAsia="en-US"/>
              </w:rPr>
              <w:t>partnera</w:t>
            </w:r>
            <w:r>
              <w:rPr>
                <w:rFonts w:asciiTheme="minorHAnsi" w:eastAsia="Times New Roman" w:hAnsiTheme="minorHAnsi" w:cstheme="minorBidi"/>
                <w:noProof/>
                <w:sz w:val="22"/>
                <w:szCs w:val="22"/>
                <w:lang w:val="hr-HR" w:eastAsia="en-US"/>
              </w:rPr>
              <w:t xml:space="preserve"> Uputa za prijavitelje, prijavitelj i svi partneri moraju na </w:t>
            </w:r>
            <w:r w:rsidRPr="00A00045">
              <w:rPr>
                <w:rFonts w:asciiTheme="minorHAnsi" w:eastAsia="Times New Roman" w:hAnsiTheme="minorHAnsi" w:cstheme="minorBidi"/>
                <w:noProof/>
                <w:sz w:val="22"/>
                <w:szCs w:val="22"/>
                <w:lang w:val="hr-HR" w:eastAsia="en-US"/>
              </w:rPr>
              <w:t>dan objave Poziva biti registrirani za obavljanje djelatnosti u Republici Hrvatskoj najmanje 12 mjeseci</w:t>
            </w:r>
            <w:r>
              <w:rPr>
                <w:rFonts w:asciiTheme="minorHAnsi" w:eastAsia="Times New Roman" w:hAnsiTheme="minorHAnsi" w:cstheme="minorBidi"/>
                <w:noProof/>
                <w:sz w:val="22"/>
                <w:szCs w:val="22"/>
                <w:lang w:val="hr-HR" w:eastAsia="en-US"/>
              </w:rPr>
              <w:t xml:space="preserve">. </w:t>
            </w:r>
          </w:p>
        </w:tc>
      </w:tr>
      <w:tr w:rsidR="00DD00F0" w:rsidRPr="007060DE" w14:paraId="30B29898" w14:textId="77777777" w:rsidTr="00DD00F0">
        <w:tc>
          <w:tcPr>
            <w:tcW w:w="562" w:type="dxa"/>
          </w:tcPr>
          <w:p w14:paraId="1B8977B8" w14:textId="662C34AF" w:rsidR="00DD00F0" w:rsidRPr="009B1055" w:rsidRDefault="00DD00F0" w:rsidP="00D27AE2">
            <w:pPr>
              <w:rPr>
                <w:rFonts w:eastAsia="Times New Roman"/>
              </w:rPr>
            </w:pPr>
            <w:r w:rsidRPr="009B1055">
              <w:rPr>
                <w:rFonts w:eastAsia="Times New Roman"/>
              </w:rPr>
              <w:lastRenderedPageBreak/>
              <w:t>22</w:t>
            </w:r>
          </w:p>
        </w:tc>
        <w:tc>
          <w:tcPr>
            <w:tcW w:w="3828" w:type="dxa"/>
          </w:tcPr>
          <w:p w14:paraId="27F107C1" w14:textId="57DDFBAA" w:rsidR="00DD00F0" w:rsidRPr="009B1055" w:rsidRDefault="00DD00F0" w:rsidP="00600046">
            <w:r w:rsidRPr="009B1055">
              <w:t>Je li u okviru jednog projektnog prijedloga dozvoljeno opremanje dva prostora, koji se nalaze na različitim lokacijama, ali u istoj jedinici lokalne samouprave koja je partner na projektnom prijedlogu?</w:t>
            </w:r>
          </w:p>
        </w:tc>
        <w:tc>
          <w:tcPr>
            <w:tcW w:w="5103" w:type="dxa"/>
          </w:tcPr>
          <w:p w14:paraId="64C33AC6" w14:textId="42E9590E" w:rsidR="00DD00F0" w:rsidRPr="009B1055" w:rsidRDefault="001D1B2F" w:rsidP="00D76D77">
            <w:r w:rsidRPr="009B1055">
              <w:rPr>
                <w:rFonts w:eastAsia="Times New Roman" w:cstheme="minorHAnsi"/>
              </w:rPr>
              <w:t>P</w:t>
            </w:r>
            <w:r w:rsidR="00DD00F0" w:rsidRPr="009B1055">
              <w:rPr>
                <w:rFonts w:eastAsia="Times New Roman" w:cstheme="minorHAnsi"/>
              </w:rPr>
              <w:t xml:space="preserve">rihvatljivo je opremanje samo onog prostora na kojeg se odnosi aktivnost razvoja/uspostave modela sudioničkog opravljanja (skupina aktivnosti A; Element 2), a nabava opreme </w:t>
            </w:r>
            <w:r w:rsidRPr="009B1055">
              <w:rPr>
                <w:rFonts w:eastAsia="Times New Roman" w:cstheme="minorHAnsi"/>
              </w:rPr>
              <w:t xml:space="preserve">je </w:t>
            </w:r>
            <w:r w:rsidR="00DD00F0" w:rsidRPr="009B1055">
              <w:rPr>
                <w:rFonts w:eastAsia="Times New Roman" w:cstheme="minorHAnsi"/>
              </w:rPr>
              <w:t xml:space="preserve">prihvatljiva ukoliko je izravno povezana s provedbom projektnih aktivnosti, doprinosi ostvarenju ciljeva projekta i Poziva te zadovoljava ostale uvjete prihvatljivosti sukladno natječajnoj dokumentaciji. Uz ispunjavanje </w:t>
            </w:r>
            <w:r w:rsidRPr="009B1055">
              <w:rPr>
                <w:rFonts w:eastAsia="Times New Roman" w:cstheme="minorHAnsi"/>
              </w:rPr>
              <w:t xml:space="preserve">navedenih </w:t>
            </w:r>
            <w:r w:rsidR="00DD00F0" w:rsidRPr="009B1055">
              <w:rPr>
                <w:rFonts w:eastAsia="Times New Roman" w:cstheme="minorHAnsi"/>
              </w:rPr>
              <w:t>uvjeta, te ukoliko je provedba aktivnosti na dvije lokacije opravdana i troškovno učinkovita, prihvatljiva je i nabava opreme za provedbu projektnih aktivnosti na dvije lokacije.</w:t>
            </w:r>
          </w:p>
        </w:tc>
      </w:tr>
      <w:tr w:rsidR="00DD00F0" w:rsidRPr="007060DE" w14:paraId="1E98D9B9" w14:textId="77777777" w:rsidTr="00DD00F0">
        <w:tc>
          <w:tcPr>
            <w:tcW w:w="562" w:type="dxa"/>
          </w:tcPr>
          <w:p w14:paraId="4E94D0D1" w14:textId="794B92C3" w:rsidR="00DD00F0" w:rsidRPr="009B1055" w:rsidRDefault="00DD00F0" w:rsidP="00D27AE2">
            <w:pPr>
              <w:rPr>
                <w:rFonts w:eastAsia="Times New Roman"/>
              </w:rPr>
            </w:pPr>
            <w:bookmarkStart w:id="0" w:name="_GoBack" w:colFirst="0" w:colLast="2"/>
            <w:r w:rsidRPr="009B1055">
              <w:rPr>
                <w:rFonts w:eastAsia="Times New Roman"/>
              </w:rPr>
              <w:t>23</w:t>
            </w:r>
          </w:p>
        </w:tc>
        <w:tc>
          <w:tcPr>
            <w:tcW w:w="3828" w:type="dxa"/>
          </w:tcPr>
          <w:p w14:paraId="6372025A" w14:textId="5A5954EB" w:rsidR="00DD00F0" w:rsidRPr="009B1055" w:rsidRDefault="00DD00F0" w:rsidP="009B4C39">
            <w:r w:rsidRPr="009B1055">
              <w:t>U slučaju da se prostor, koji se adaptira u okviru projekta, nakon provedbe projektnih aktivnosti ustupi na korištenje organizacijama civilnog društva, mogu li te organizacije ostvarivati dobit od aktivnosti koje će provoditi u tom prostoru, ako tu dobit povratno ulažu u razvoj toga prostora?</w:t>
            </w:r>
          </w:p>
        </w:tc>
        <w:tc>
          <w:tcPr>
            <w:tcW w:w="5103" w:type="dxa"/>
          </w:tcPr>
          <w:p w14:paraId="27D12C2F" w14:textId="188BC755" w:rsidR="00DD00F0" w:rsidRPr="009B1055" w:rsidRDefault="009B1055" w:rsidP="008030DA">
            <w:pPr>
              <w:pStyle w:val="FootnoteText"/>
              <w:rPr>
                <w:rFonts w:asciiTheme="minorHAnsi" w:eastAsiaTheme="minorHAnsi" w:hAnsiTheme="minorHAnsi" w:cstheme="minorBidi"/>
                <w:sz w:val="22"/>
                <w:szCs w:val="22"/>
                <w:lang w:val="hr-HR" w:eastAsia="en-US"/>
              </w:rPr>
            </w:pPr>
            <w:r w:rsidRPr="009B1055">
              <w:rPr>
                <w:rFonts w:asciiTheme="minorHAnsi" w:eastAsiaTheme="minorHAnsi" w:hAnsiTheme="minorHAnsi" w:cstheme="minorBidi"/>
                <w:sz w:val="22"/>
                <w:szCs w:val="22"/>
                <w:lang w:val="hr-HR" w:eastAsia="en-US"/>
              </w:rPr>
              <w:t>Sukladno čl. 9.3. Općih uvjeta Ugovora oprema, vozila, potrošni materijal i rezultati projekta mogu se prenijeti na projektne partnere ili treće osobe, međutim njihova svrha mora ostati neizmijenjena u odnosu na namjenu definiranu Ugovorom. Nadalje sukladno čl. 17.3. Općih uvjeta Ugovora Korisnik mora omogućiti PT-ovima, UT, TO, TR, EK, Uredu Europske komisije za suzbijanje prijevara (OLAF), Europskom revizorskom sudu (ERS) i bilo kojim drugim revizorima ili vanjskim osobama ovlaštenima od strane PT-a 2, provođenje potrebnih provjera, pregledavanjem dokumenata, pravljenjem preslika tih dokumenata ili vršenjem provjera na licu mjesta (sa ili bez prethodne najave), praćenje provedbe projekta i vršenje postupka pune revizije, ako je potrebno, na temelju popratnih dokumenata za račune, računovodstvene dokumentacije i bilo kojih drugih dokumenata relevantnih za financiranje projekta. Ove provjere mogu se vršiti do 5 godina nakon zatvaranja operativnog programa pod kojim se projekt sufinancira, osim ako u Posebnim uvjetima Ugovora nije drugačije određeno.</w:t>
            </w:r>
          </w:p>
        </w:tc>
      </w:tr>
      <w:tr w:rsidR="00DD00F0" w:rsidRPr="007060DE" w14:paraId="11C5CB34" w14:textId="77777777" w:rsidTr="00DD00F0">
        <w:tc>
          <w:tcPr>
            <w:tcW w:w="562" w:type="dxa"/>
          </w:tcPr>
          <w:p w14:paraId="68E54F18" w14:textId="634A370D" w:rsidR="00DD00F0" w:rsidRPr="007060DE" w:rsidRDefault="00DD00F0" w:rsidP="00D27AE2">
            <w:pPr>
              <w:rPr>
                <w:rFonts w:eastAsia="Times New Roman"/>
              </w:rPr>
            </w:pPr>
            <w:r w:rsidRPr="007060DE">
              <w:rPr>
                <w:rFonts w:eastAsia="Times New Roman"/>
              </w:rPr>
              <w:t>2</w:t>
            </w:r>
            <w:r>
              <w:rPr>
                <w:rFonts w:eastAsia="Times New Roman"/>
              </w:rPr>
              <w:t>4</w:t>
            </w:r>
          </w:p>
        </w:tc>
        <w:tc>
          <w:tcPr>
            <w:tcW w:w="3828" w:type="dxa"/>
          </w:tcPr>
          <w:p w14:paraId="18C2EEB2" w14:textId="5E97909B" w:rsidR="00DD00F0" w:rsidRPr="007060DE" w:rsidRDefault="00DD00F0" w:rsidP="00D27AE2">
            <w:pPr>
              <w:rPr>
                <w:rFonts w:eastAsia="Times New Roman"/>
              </w:rPr>
            </w:pPr>
            <w:r>
              <w:rPr>
                <w:rFonts w:eastAsia="Times New Roman"/>
              </w:rPr>
              <w:t>U prezentaciji je navedeno da prilikom izrade proračuna projektnog prijedloga koristimo se samo trima oznakama: „</w:t>
            </w:r>
            <w:r w:rsidRPr="00FE3219">
              <w:rPr>
                <w:rFonts w:eastAsia="Times New Roman"/>
              </w:rPr>
              <w:t>Izravni troškovi osoblja</w:t>
            </w:r>
            <w:r>
              <w:rPr>
                <w:rFonts w:eastAsia="Times New Roman"/>
              </w:rPr>
              <w:t>“</w:t>
            </w:r>
            <w:r w:rsidRPr="00FE3219">
              <w:rPr>
                <w:rFonts w:eastAsia="Times New Roman"/>
              </w:rPr>
              <w:t xml:space="preserve">, </w:t>
            </w:r>
            <w:r>
              <w:rPr>
                <w:rFonts w:eastAsia="Times New Roman"/>
              </w:rPr>
              <w:t>„</w:t>
            </w:r>
            <w:r w:rsidRPr="00FE3219">
              <w:rPr>
                <w:rFonts w:eastAsia="Times New Roman"/>
              </w:rPr>
              <w:t>Fiksna stopa</w:t>
            </w:r>
            <w:r>
              <w:rPr>
                <w:rFonts w:eastAsia="Times New Roman"/>
              </w:rPr>
              <w:t>“</w:t>
            </w:r>
            <w:r w:rsidRPr="00FE3219">
              <w:rPr>
                <w:rFonts w:eastAsia="Times New Roman"/>
              </w:rPr>
              <w:t xml:space="preserve"> i </w:t>
            </w:r>
            <w:r>
              <w:rPr>
                <w:rFonts w:eastAsia="Times New Roman"/>
              </w:rPr>
              <w:t>„</w:t>
            </w:r>
            <w:r w:rsidRPr="00FE3219">
              <w:rPr>
                <w:rFonts w:eastAsia="Times New Roman"/>
              </w:rPr>
              <w:t>Oprema</w:t>
            </w:r>
            <w:r>
              <w:rPr>
                <w:rFonts w:eastAsia="Times New Roman"/>
              </w:rPr>
              <w:t>“. Na koji način označavamo troškove usluga koji nisu izravni trošak osoblja (primjerice usluge dizajna promotivnih materijala ili izrade promotivnih spotova)?</w:t>
            </w:r>
          </w:p>
        </w:tc>
        <w:tc>
          <w:tcPr>
            <w:tcW w:w="5103" w:type="dxa"/>
          </w:tcPr>
          <w:p w14:paraId="414867E0" w14:textId="0FF1038E" w:rsidR="00DD00F0" w:rsidRPr="007060DE" w:rsidRDefault="00DD00F0" w:rsidP="00901588">
            <w:pPr>
              <w:rPr>
                <w:rFonts w:eastAsia="Times New Roman"/>
              </w:rPr>
            </w:pPr>
            <w:r>
              <w:rPr>
                <w:rFonts w:eastAsia="Times New Roman"/>
              </w:rPr>
              <w:t>Kako je navedeno u Prilogu 3 natječajne dokumentacije „</w:t>
            </w:r>
            <w:r w:rsidRPr="00A500CE">
              <w:rPr>
                <w:rFonts w:eastAsia="Times New Roman"/>
              </w:rPr>
              <w:t>Korisnički priručnik za popunjavanje prijavnog obrasca A</w:t>
            </w:r>
            <w:r>
              <w:rPr>
                <w:rFonts w:eastAsia="Times New Roman"/>
              </w:rPr>
              <w:t>“ (str. 35.), prilikom izrade proračuna projektnog prijedloga koriste se samo 3 navedene oznake troška. Ostalim troškovima, uključujući troškove usluga koji nisu izravni trošak osoblja, ne pridružuje se oznaka troška.</w:t>
            </w:r>
          </w:p>
        </w:tc>
      </w:tr>
      <w:bookmarkEnd w:id="0"/>
      <w:tr w:rsidR="00DD00F0" w:rsidRPr="007060DE" w14:paraId="53D1C4F8" w14:textId="77777777" w:rsidTr="00DD00F0">
        <w:tc>
          <w:tcPr>
            <w:tcW w:w="562" w:type="dxa"/>
          </w:tcPr>
          <w:p w14:paraId="6C1140A9" w14:textId="0BDB046F" w:rsidR="00DD00F0" w:rsidRPr="007060DE" w:rsidRDefault="00DD00F0" w:rsidP="00D27AE2">
            <w:pPr>
              <w:rPr>
                <w:rFonts w:eastAsia="Times New Roman"/>
              </w:rPr>
            </w:pPr>
            <w:r>
              <w:rPr>
                <w:rFonts w:eastAsia="Times New Roman"/>
              </w:rPr>
              <w:t>25</w:t>
            </w:r>
          </w:p>
        </w:tc>
        <w:tc>
          <w:tcPr>
            <w:tcW w:w="3828" w:type="dxa"/>
          </w:tcPr>
          <w:p w14:paraId="0CBC3728" w14:textId="5D44C6CE" w:rsidR="00DD00F0" w:rsidRPr="00B83F8C" w:rsidRDefault="00DD00F0" w:rsidP="00A500CE">
            <w:r>
              <w:t xml:space="preserve">Napomenuto je da je u okviru ovog Poziva prihvatljiva aktivnost </w:t>
            </w:r>
            <w:r w:rsidRPr="00A500CE">
              <w:t>pripreme i provedbe kulturnih i umjetničkih projekata i programa</w:t>
            </w:r>
            <w:r>
              <w:t>. Je li moguće u okviru projektnog prijedloga provoditi aktivnosti već postojećih programa ili je nužno da ti programi i projekti budu osmišljeni  za potrebe projektnog prijedloga?</w:t>
            </w:r>
          </w:p>
        </w:tc>
        <w:tc>
          <w:tcPr>
            <w:tcW w:w="5103" w:type="dxa"/>
          </w:tcPr>
          <w:p w14:paraId="4AF310F1" w14:textId="143ECA1A" w:rsidR="00DD00F0" w:rsidRDefault="00DD00F0" w:rsidP="009D31B7">
            <w:pPr>
              <w:rPr>
                <w:rFonts w:eastAsia="Times New Roman"/>
              </w:rPr>
            </w:pPr>
            <w:r>
              <w:rPr>
                <w:rFonts w:eastAsia="Times New Roman"/>
              </w:rPr>
              <w:t>Sukladno</w:t>
            </w:r>
            <w:r w:rsidRPr="00595198">
              <w:rPr>
                <w:rFonts w:eastAsia="Times New Roman"/>
              </w:rPr>
              <w:t xml:space="preserve"> točki 3.3 </w:t>
            </w:r>
            <w:r w:rsidRPr="00595198">
              <w:rPr>
                <w:rFonts w:eastAsia="Times New Roman"/>
                <w:i/>
              </w:rPr>
              <w:t>Prihvatljive aktivnosti</w:t>
            </w:r>
            <w:r w:rsidRPr="00595198">
              <w:rPr>
                <w:rFonts w:eastAsia="Times New Roman"/>
              </w:rPr>
              <w:t xml:space="preserve"> Uputa za prijavitelje, </w:t>
            </w:r>
            <w:r>
              <w:rPr>
                <w:rFonts w:eastAsia="Times New Roman"/>
              </w:rPr>
              <w:t>t</w:t>
            </w:r>
            <w:r w:rsidRPr="009D31B7">
              <w:rPr>
                <w:rFonts w:eastAsia="Times New Roman"/>
              </w:rPr>
              <w:t>rošk</w:t>
            </w:r>
            <w:r>
              <w:rPr>
                <w:rFonts w:eastAsia="Times New Roman"/>
              </w:rPr>
              <w:t>ovi pripreme i provedbe kulturnih i umjetničkih</w:t>
            </w:r>
            <w:r w:rsidRPr="009D31B7">
              <w:rPr>
                <w:rFonts w:eastAsia="Times New Roman"/>
              </w:rPr>
              <w:t xml:space="preserve"> </w:t>
            </w:r>
            <w:r>
              <w:rPr>
                <w:rFonts w:eastAsia="Times New Roman"/>
              </w:rPr>
              <w:t>programa</w:t>
            </w:r>
            <w:r w:rsidRPr="009D31B7">
              <w:rPr>
                <w:rFonts w:eastAsia="Times New Roman"/>
              </w:rPr>
              <w:t xml:space="preserve"> su </w:t>
            </w:r>
            <w:r>
              <w:rPr>
                <w:rFonts w:eastAsia="Times New Roman"/>
              </w:rPr>
              <w:t xml:space="preserve">obavezni u okviru ovoga Poziva. </w:t>
            </w:r>
          </w:p>
          <w:p w14:paraId="0F128054" w14:textId="394702B5" w:rsidR="00DD00F0" w:rsidRPr="007060DE" w:rsidRDefault="00DD00F0" w:rsidP="00D267D5">
            <w:pPr>
              <w:rPr>
                <w:rFonts w:eastAsia="Times New Roman"/>
              </w:rPr>
            </w:pPr>
            <w:r>
              <w:rPr>
                <w:rFonts w:eastAsia="Times New Roman"/>
              </w:rPr>
              <w:t xml:space="preserve">Prijavitelj može razvijati nove programe ili razmjenjivati, nadograđivati postojeće programe, s time da je u okviru ovog Poziva </w:t>
            </w:r>
            <w:r>
              <w:rPr>
                <w:rFonts w:ascii="Calibri" w:eastAsia="Droid Sans Fallback" w:hAnsi="Calibri" w:cs="Calibri"/>
                <w:szCs w:val="20"/>
                <w:lang w:eastAsia="zh-CN"/>
              </w:rPr>
              <w:t xml:space="preserve">naglasak </w:t>
            </w:r>
            <w:r w:rsidRPr="00354630">
              <w:rPr>
                <w:rFonts w:ascii="Calibri" w:eastAsia="Droid Sans Fallback" w:hAnsi="Calibri" w:cs="Calibri"/>
                <w:szCs w:val="20"/>
                <w:lang w:eastAsia="zh-CN"/>
              </w:rPr>
              <w:t xml:space="preserve">na </w:t>
            </w:r>
            <w:r>
              <w:rPr>
                <w:rFonts w:ascii="Calibri" w:eastAsia="Droid Sans Fallback" w:hAnsi="Calibri" w:cs="Calibri"/>
                <w:szCs w:val="20"/>
                <w:lang w:eastAsia="zh-CN"/>
              </w:rPr>
              <w:t>projektima i programima</w:t>
            </w:r>
            <w:r w:rsidRPr="00354630">
              <w:rPr>
                <w:rFonts w:ascii="Calibri" w:eastAsia="Droid Sans Fallback" w:hAnsi="Calibri" w:cs="Calibri"/>
                <w:szCs w:val="20"/>
                <w:lang w:eastAsia="zh-CN"/>
              </w:rPr>
              <w:t xml:space="preserve"> u čije je planiranje, pripremu, odnosno provedbu aktivno uključena lokalna zajednica</w:t>
            </w:r>
            <w:r>
              <w:rPr>
                <w:rFonts w:ascii="Calibri" w:eastAsia="Droid Sans Fallback" w:hAnsi="Calibri" w:cs="Calibri"/>
                <w:szCs w:val="20"/>
                <w:lang w:eastAsia="zh-CN"/>
              </w:rPr>
              <w:t xml:space="preserve">. Vezano uz razmjenu/ nadogradnju postojećih programa, naglašavamo da </w:t>
            </w:r>
            <w:r>
              <w:rPr>
                <w:rFonts w:eastAsia="Times New Roman"/>
              </w:rPr>
              <w:t>d</w:t>
            </w:r>
            <w:r w:rsidRPr="009D31B7">
              <w:rPr>
                <w:rFonts w:eastAsia="Times New Roman"/>
              </w:rPr>
              <w:t>vostruko financiranje projektnih aktivnosti nije dozvoljeno</w:t>
            </w:r>
            <w:r>
              <w:rPr>
                <w:rFonts w:eastAsia="Times New Roman"/>
              </w:rPr>
              <w:t>.</w:t>
            </w:r>
          </w:p>
        </w:tc>
      </w:tr>
      <w:tr w:rsidR="00DD00F0" w:rsidRPr="007060DE" w14:paraId="036321CC" w14:textId="77777777" w:rsidTr="00DD00F0">
        <w:tc>
          <w:tcPr>
            <w:tcW w:w="562" w:type="dxa"/>
          </w:tcPr>
          <w:p w14:paraId="317E4F9C" w14:textId="5B6D8FCF" w:rsidR="00DD00F0" w:rsidRPr="007060DE" w:rsidRDefault="00DD00F0" w:rsidP="00D27AE2">
            <w:pPr>
              <w:rPr>
                <w:rFonts w:eastAsia="Times New Roman"/>
              </w:rPr>
            </w:pPr>
            <w:r>
              <w:rPr>
                <w:rFonts w:eastAsia="Times New Roman"/>
              </w:rPr>
              <w:t>26</w:t>
            </w:r>
          </w:p>
        </w:tc>
        <w:tc>
          <w:tcPr>
            <w:tcW w:w="3828" w:type="dxa"/>
          </w:tcPr>
          <w:p w14:paraId="71F5D7B3" w14:textId="554BC05E" w:rsidR="00DD00F0" w:rsidRPr="00B83F8C" w:rsidRDefault="00DD00F0" w:rsidP="00D267D5">
            <w:r>
              <w:t>Kriteriji dodjele uglavnom su potpuno subjektivni i niti jedan od njih nije kvantificiran. Je li moguće da se u okviru kriterija dodjele definiraju određeni razredi za bodovanje, tako da prijavitelji mogu sami napraviti samoprocjenu svojih projekata?</w:t>
            </w:r>
          </w:p>
        </w:tc>
        <w:tc>
          <w:tcPr>
            <w:tcW w:w="5103" w:type="dxa"/>
          </w:tcPr>
          <w:p w14:paraId="3420A40C" w14:textId="77777777" w:rsidR="00DD00F0" w:rsidRDefault="00DD00F0" w:rsidP="00BA73EA">
            <w:pPr>
              <w:rPr>
                <w:rFonts w:eastAsia="Times New Roman"/>
              </w:rPr>
            </w:pPr>
            <w:r>
              <w:rPr>
                <w:rFonts w:eastAsia="Times New Roman"/>
              </w:rPr>
              <w:t xml:space="preserve">Kriteriji dodjele navedeni u točki </w:t>
            </w:r>
            <w:r w:rsidRPr="00D267D5">
              <w:rPr>
                <w:rFonts w:eastAsia="Times New Roman"/>
              </w:rPr>
              <w:t xml:space="preserve">6.2 </w:t>
            </w:r>
            <w:r w:rsidRPr="00D267D5">
              <w:rPr>
                <w:rFonts w:eastAsia="Times New Roman"/>
                <w:i/>
              </w:rPr>
              <w:t>Procjena kvalitete</w:t>
            </w:r>
            <w:r>
              <w:rPr>
                <w:rFonts w:eastAsia="Times New Roman"/>
              </w:rPr>
              <w:t xml:space="preserve"> Upute za prijavitelje usvojeni su od strane Odbora za praćenje </w:t>
            </w:r>
            <w:r w:rsidRPr="001E5813">
              <w:rPr>
                <w:rFonts w:eastAsia="Times New Roman"/>
              </w:rPr>
              <w:t>Operativnog programa “Učinkoviti ljudski potencijali“ 2014.-2020.</w:t>
            </w:r>
            <w:r>
              <w:rPr>
                <w:rFonts w:eastAsia="Times New Roman"/>
              </w:rPr>
              <w:t xml:space="preserve"> </w:t>
            </w:r>
          </w:p>
          <w:p w14:paraId="4864AAB0" w14:textId="77777777" w:rsidR="00DD00F0" w:rsidRDefault="00DD00F0" w:rsidP="00BA73EA">
            <w:pPr>
              <w:rPr>
                <w:rFonts w:eastAsia="Times New Roman"/>
              </w:rPr>
            </w:pPr>
          </w:p>
          <w:p w14:paraId="4266F8C9" w14:textId="16EBF2B5" w:rsidR="00DD00F0" w:rsidRPr="007060DE" w:rsidRDefault="00DD00F0" w:rsidP="00BA73EA">
            <w:pPr>
              <w:rPr>
                <w:rFonts w:eastAsia="Times New Roman"/>
              </w:rPr>
            </w:pPr>
            <w:r>
              <w:rPr>
                <w:rFonts w:eastAsia="Times New Roman"/>
              </w:rPr>
              <w:t xml:space="preserve">Kriteriji dodjele su u okviru ovog Poziva dodatno razrađeni na način da je uz svaku ocjenu (od 1 do 5) navedeno obrazloženje, pa prijavitelj može provesti samoprocjenu vodeći računa da su sve komponente navedene u kriterijima jasno i precizno navedene u </w:t>
            </w:r>
            <w:r>
              <w:rPr>
                <w:rFonts w:eastAsia="Times New Roman"/>
              </w:rPr>
              <w:lastRenderedPageBreak/>
              <w:t>projektnom prijedlogu (npr. da su precizno navedeni nazivi strateških dokumenata, kao i obrazloženi doprinosi njima, da su jasno navedeni problemi i potrebe lokalne zajednice i sl.).</w:t>
            </w:r>
          </w:p>
        </w:tc>
      </w:tr>
      <w:tr w:rsidR="00DD00F0" w:rsidRPr="007060DE" w14:paraId="309F8AE9" w14:textId="77777777" w:rsidTr="00DD00F0">
        <w:tc>
          <w:tcPr>
            <w:tcW w:w="562" w:type="dxa"/>
          </w:tcPr>
          <w:p w14:paraId="0D143C5F" w14:textId="4E3DD600" w:rsidR="00DD00F0" w:rsidRPr="007060DE" w:rsidRDefault="00DD00F0" w:rsidP="00D27AE2">
            <w:pPr>
              <w:rPr>
                <w:rFonts w:eastAsia="Times New Roman"/>
              </w:rPr>
            </w:pPr>
            <w:r>
              <w:rPr>
                <w:rFonts w:eastAsia="Times New Roman"/>
              </w:rPr>
              <w:lastRenderedPageBreak/>
              <w:t>27</w:t>
            </w:r>
          </w:p>
        </w:tc>
        <w:tc>
          <w:tcPr>
            <w:tcW w:w="3828" w:type="dxa"/>
          </w:tcPr>
          <w:p w14:paraId="38D2F082" w14:textId="63634EB9" w:rsidR="00DD00F0" w:rsidRPr="009B1055" w:rsidRDefault="00DD00F0" w:rsidP="00D27AE2">
            <w:r w:rsidRPr="009B1055">
              <w:t>U financijskoj razradi troškova, navodimo li neto iznos honorara za ugovor o djelu ili iznos honorara s doprinosima?</w:t>
            </w:r>
          </w:p>
        </w:tc>
        <w:tc>
          <w:tcPr>
            <w:tcW w:w="5103" w:type="dxa"/>
          </w:tcPr>
          <w:p w14:paraId="2B5D2D4C" w14:textId="1EE9129E" w:rsidR="00DD00F0" w:rsidRPr="009B1055" w:rsidRDefault="00DD00F0" w:rsidP="00E4366D">
            <w:pPr>
              <w:rPr>
                <w:rFonts w:eastAsia="Times New Roman"/>
              </w:rPr>
            </w:pPr>
            <w:r w:rsidRPr="009B1055">
              <w:rPr>
                <w:rFonts w:eastAsia="Times New Roman"/>
              </w:rPr>
              <w:t>U okviru proračuna projektnog prijedloga potrebno je navoditi ukupan trošak za svaku stavku. U slučaju izravnih troškova osoblja radi se o bruto iznosu. Od iznimne je važnosti da prijavitelj navodi ukupne troškove za svaku stavku budući da ukupan iznos zatraženih sredstava nije moguće povećavati nakon zaprimanja projektnog prijedloga.</w:t>
            </w:r>
          </w:p>
        </w:tc>
      </w:tr>
      <w:tr w:rsidR="00DD00F0" w:rsidRPr="007060DE" w14:paraId="0B794829" w14:textId="77777777" w:rsidTr="00DD00F0">
        <w:tc>
          <w:tcPr>
            <w:tcW w:w="562" w:type="dxa"/>
          </w:tcPr>
          <w:p w14:paraId="73A0DF5D" w14:textId="17977EFD" w:rsidR="00DD00F0" w:rsidRPr="007060DE" w:rsidRDefault="00DD00F0" w:rsidP="00D27AE2">
            <w:pPr>
              <w:rPr>
                <w:rFonts w:eastAsia="Times New Roman"/>
              </w:rPr>
            </w:pPr>
            <w:r>
              <w:rPr>
                <w:rFonts w:eastAsia="Times New Roman"/>
              </w:rPr>
              <w:t>28</w:t>
            </w:r>
          </w:p>
        </w:tc>
        <w:tc>
          <w:tcPr>
            <w:tcW w:w="3828" w:type="dxa"/>
          </w:tcPr>
          <w:p w14:paraId="4A7C4BC8" w14:textId="7F42A5A3" w:rsidR="00DD00F0" w:rsidRPr="00B83F8C" w:rsidRDefault="00DD00F0" w:rsidP="00FF4AD5">
            <w:r>
              <w:t xml:space="preserve">Molimo pojašnjenje sljedeće stavke (navedene u točki </w:t>
            </w:r>
            <w:r w:rsidRPr="00563F34">
              <w:t xml:space="preserve">4.1.1 </w:t>
            </w:r>
            <w:r w:rsidRPr="00563F34">
              <w:rPr>
                <w:i/>
              </w:rPr>
              <w:t>Prihvatljivi izdaci</w:t>
            </w:r>
            <w:r>
              <w:t xml:space="preserve"> Uputa za prijavitelje): „</w:t>
            </w:r>
            <w:r w:rsidRPr="00563F34">
              <w:t>Izravni troškovi osoblja su troškovi rada koje je moguće jasno identificirati i koji proizlaze iz ugovora/</w:t>
            </w:r>
            <w:r>
              <w:t xml:space="preserve"> </w:t>
            </w:r>
            <w:r w:rsidRPr="00563F34">
              <w:t>rješenja između poslodavca (institucije i/ili organizacije) i zaposlenika ili ugovora o uslugama za vanjsko osoblje između naručitelja i fizičke osobe u vrijednosti manjoj od 200.000,00 kn bez poreza na dodanu vrijednost, a isplaćuju se osoblju za obavljeni rad koji je izravno povezan s operacijom</w:t>
            </w:r>
            <w:r>
              <w:t>“. Na što se odnosi iznos od 200.000,00 kn?</w:t>
            </w:r>
          </w:p>
        </w:tc>
        <w:tc>
          <w:tcPr>
            <w:tcW w:w="5103" w:type="dxa"/>
          </w:tcPr>
          <w:p w14:paraId="46002831" w14:textId="27223BEE" w:rsidR="00DD00F0" w:rsidRDefault="00DD00F0" w:rsidP="00662765">
            <w:pPr>
              <w:rPr>
                <w:rFonts w:eastAsia="Times New Roman"/>
              </w:rPr>
            </w:pPr>
            <w:r w:rsidRPr="00563F34">
              <w:rPr>
                <w:rFonts w:eastAsia="Times New Roman"/>
              </w:rPr>
              <w:t xml:space="preserve">Navedeno ograničenje primjenjuje se na pojedinačne ugovore, odnosno na pojedinačnu fizičku osobu </w:t>
            </w:r>
            <w:r>
              <w:rPr>
                <w:rFonts w:eastAsia="Times New Roman"/>
              </w:rPr>
              <w:t>s kojom se sklapa ugovor o uslugama (npr. temeljem ugovora o djelu ili autorskog ugovora). Ukoliko vrijednost ugovora o uslugama sklopljenog s fizičkom osobom iznosi 200.000,00 kn ili više (bez PDV-a),</w:t>
            </w:r>
            <w:r w:rsidRPr="00563F34">
              <w:rPr>
                <w:rFonts w:eastAsia="Times New Roman"/>
              </w:rPr>
              <w:t xml:space="preserve"> taj trošak </w:t>
            </w:r>
            <w:r>
              <w:rPr>
                <w:rFonts w:eastAsia="Times New Roman"/>
              </w:rPr>
              <w:t xml:space="preserve">se </w:t>
            </w:r>
            <w:r w:rsidRPr="00563F34">
              <w:rPr>
                <w:rFonts w:eastAsia="Times New Roman"/>
              </w:rPr>
              <w:t>ne može svrstati u izravne troškove osoblja.</w:t>
            </w:r>
            <w:r>
              <w:rPr>
                <w:rFonts w:eastAsia="Times New Roman"/>
              </w:rPr>
              <w:t xml:space="preserve"> Napominjemo da se n</w:t>
            </w:r>
            <w:r w:rsidRPr="00563F34">
              <w:rPr>
                <w:rFonts w:eastAsia="Times New Roman"/>
              </w:rPr>
              <w:t>avede</w:t>
            </w:r>
            <w:r>
              <w:rPr>
                <w:rFonts w:eastAsia="Times New Roman"/>
              </w:rPr>
              <w:t>no ograničenje ne primjenjuje</w:t>
            </w:r>
            <w:r w:rsidRPr="00563F34">
              <w:rPr>
                <w:rFonts w:eastAsia="Times New Roman"/>
              </w:rPr>
              <w:t xml:space="preserve"> na troškove plaća koji proizlaze iz ugovora o radu/</w:t>
            </w:r>
            <w:r>
              <w:rPr>
                <w:rFonts w:eastAsia="Times New Roman"/>
              </w:rPr>
              <w:t xml:space="preserve"> </w:t>
            </w:r>
            <w:r w:rsidRPr="00563F34">
              <w:rPr>
                <w:rFonts w:eastAsia="Times New Roman"/>
              </w:rPr>
              <w:t>rješenja između prij</w:t>
            </w:r>
            <w:r>
              <w:rPr>
                <w:rFonts w:eastAsia="Times New Roman"/>
              </w:rPr>
              <w:t>avitelja/ partnera i zaposlenika te na</w:t>
            </w:r>
            <w:r w:rsidRPr="00563F34">
              <w:rPr>
                <w:rFonts w:eastAsia="Times New Roman"/>
              </w:rPr>
              <w:t xml:space="preserve"> </w:t>
            </w:r>
            <w:r>
              <w:rPr>
                <w:rFonts w:eastAsia="Times New Roman"/>
              </w:rPr>
              <w:t xml:space="preserve">ukupne </w:t>
            </w:r>
            <w:r w:rsidRPr="00563F34">
              <w:rPr>
                <w:rFonts w:eastAsia="Times New Roman"/>
              </w:rPr>
              <w:t>troškove ugovora o uslugama</w:t>
            </w:r>
            <w:r>
              <w:rPr>
                <w:rFonts w:eastAsia="Times New Roman"/>
              </w:rPr>
              <w:t xml:space="preserve"> s fizičkim osobama u okviru projektnog prijedloga, već isključivo na pojedinačne stavke, odnosno ugovore.</w:t>
            </w:r>
          </w:p>
          <w:p w14:paraId="1D742341" w14:textId="78B9BBE0" w:rsidR="00DD00F0" w:rsidRPr="007060DE" w:rsidRDefault="00DD00F0" w:rsidP="00474A12">
            <w:pPr>
              <w:rPr>
                <w:rFonts w:eastAsia="Times New Roman"/>
              </w:rPr>
            </w:pPr>
            <w:r>
              <w:t xml:space="preserve"> </w:t>
            </w:r>
          </w:p>
        </w:tc>
      </w:tr>
      <w:tr w:rsidR="00DD00F0" w:rsidRPr="009B1055" w14:paraId="60579C84" w14:textId="77777777" w:rsidTr="00DD00F0">
        <w:tc>
          <w:tcPr>
            <w:tcW w:w="562" w:type="dxa"/>
          </w:tcPr>
          <w:p w14:paraId="46D214AD" w14:textId="5DB23FFD" w:rsidR="00DD00F0" w:rsidRPr="009B1055" w:rsidRDefault="00DD00F0" w:rsidP="00D27AE2">
            <w:pPr>
              <w:rPr>
                <w:rFonts w:eastAsia="Times New Roman"/>
              </w:rPr>
            </w:pPr>
            <w:r w:rsidRPr="009B1055">
              <w:rPr>
                <w:rFonts w:eastAsia="Times New Roman"/>
              </w:rPr>
              <w:t>29</w:t>
            </w:r>
          </w:p>
        </w:tc>
        <w:tc>
          <w:tcPr>
            <w:tcW w:w="3828" w:type="dxa"/>
          </w:tcPr>
          <w:p w14:paraId="72DAD648" w14:textId="54F18A25" w:rsidR="00DD00F0" w:rsidRPr="009B1055" w:rsidRDefault="00DD00F0" w:rsidP="00D27AE2">
            <w:pPr>
              <w:tabs>
                <w:tab w:val="left" w:pos="1095"/>
              </w:tabs>
            </w:pPr>
            <w:r w:rsidRPr="009B1055">
              <w:t>Hoće li biti objavljen javni poziv za ocjenjivače za procjenu projektnih prijedloga u okviru ovog Poziva?</w:t>
            </w:r>
          </w:p>
        </w:tc>
        <w:tc>
          <w:tcPr>
            <w:tcW w:w="5103" w:type="dxa"/>
          </w:tcPr>
          <w:p w14:paraId="505B79AC" w14:textId="209EAB8F" w:rsidR="00DD00F0" w:rsidRPr="009B1055" w:rsidRDefault="009B1055" w:rsidP="006122DE">
            <w:pPr>
              <w:pStyle w:val="FootnoteText"/>
              <w:rPr>
                <w:rFonts w:asciiTheme="minorHAnsi" w:eastAsia="Times New Roman" w:hAnsiTheme="minorHAnsi" w:cstheme="minorBidi"/>
                <w:noProof/>
                <w:sz w:val="22"/>
                <w:szCs w:val="22"/>
                <w:lang w:val="hr-HR" w:eastAsia="en-US"/>
              </w:rPr>
            </w:pPr>
            <w:r w:rsidRPr="009B1055">
              <w:rPr>
                <w:rFonts w:asciiTheme="minorHAnsi" w:eastAsia="Times New Roman" w:hAnsiTheme="minorHAnsi" w:cstheme="minorBidi"/>
                <w:noProof/>
                <w:sz w:val="22"/>
                <w:szCs w:val="22"/>
                <w:lang w:val="hr-HR" w:eastAsia="en-US"/>
              </w:rPr>
              <w:t xml:space="preserve">Postupak imenovanja članova Odbora za odabir projekata bit će </w:t>
            </w:r>
            <w:r>
              <w:rPr>
                <w:rFonts w:asciiTheme="minorHAnsi" w:eastAsia="Times New Roman" w:hAnsiTheme="minorHAnsi" w:cstheme="minorBidi"/>
                <w:noProof/>
                <w:sz w:val="22"/>
                <w:szCs w:val="22"/>
                <w:lang w:val="hr-HR" w:eastAsia="en-US"/>
              </w:rPr>
              <w:t xml:space="preserve">proveden </w:t>
            </w:r>
            <w:r w:rsidRPr="009B1055">
              <w:rPr>
                <w:rFonts w:asciiTheme="minorHAnsi" w:eastAsia="Times New Roman" w:hAnsiTheme="minorHAnsi" w:cstheme="minorBidi"/>
                <w:noProof/>
                <w:sz w:val="22"/>
                <w:szCs w:val="22"/>
                <w:lang w:val="hr-HR" w:eastAsia="en-US"/>
              </w:rPr>
              <w:t>sukladno pravilima i procedurama koje uređuju izbor Odbora u okviru ovog Poziva, raspisanog iz Europskog socijalnog fonda.</w:t>
            </w:r>
          </w:p>
        </w:tc>
      </w:tr>
      <w:tr w:rsidR="00DD00F0" w:rsidRPr="007060DE" w14:paraId="10B31F16" w14:textId="77777777" w:rsidTr="00DD00F0">
        <w:tc>
          <w:tcPr>
            <w:tcW w:w="562" w:type="dxa"/>
          </w:tcPr>
          <w:p w14:paraId="07BE93FE" w14:textId="4012B204" w:rsidR="00DD00F0" w:rsidRDefault="00DD00F0" w:rsidP="00D27AE2">
            <w:pPr>
              <w:rPr>
                <w:rFonts w:eastAsia="Times New Roman"/>
              </w:rPr>
            </w:pPr>
            <w:r>
              <w:rPr>
                <w:rFonts w:eastAsia="Times New Roman"/>
              </w:rPr>
              <w:t>30</w:t>
            </w:r>
          </w:p>
        </w:tc>
        <w:tc>
          <w:tcPr>
            <w:tcW w:w="3828" w:type="dxa"/>
          </w:tcPr>
          <w:p w14:paraId="77CF0F46" w14:textId="4E66445F" w:rsidR="00DD00F0" w:rsidRDefault="00DD00F0" w:rsidP="000D5844">
            <w:pPr>
              <w:tabs>
                <w:tab w:val="left" w:pos="1095"/>
              </w:tabs>
            </w:pPr>
            <w:r>
              <w:t xml:space="preserve">Uzevši u obzir ograničenje od </w:t>
            </w:r>
            <w:r w:rsidRPr="00563F34">
              <w:t>200.000</w:t>
            </w:r>
            <w:r>
              <w:t xml:space="preserve"> kn navedeno u točki </w:t>
            </w:r>
            <w:r w:rsidRPr="00563F34">
              <w:t xml:space="preserve">4.1.1 </w:t>
            </w:r>
            <w:r w:rsidRPr="00563F34">
              <w:rPr>
                <w:i/>
              </w:rPr>
              <w:t>Prihvatljivi izdaci</w:t>
            </w:r>
            <w:r>
              <w:t xml:space="preserve"> Uputa za prijavitelje, znači li to da ne možemo u okviru projekta ugovoriti usluge s fizičkim osobama veće od tog iznosa?</w:t>
            </w:r>
          </w:p>
        </w:tc>
        <w:tc>
          <w:tcPr>
            <w:tcW w:w="5103" w:type="dxa"/>
          </w:tcPr>
          <w:p w14:paraId="0DB1503B" w14:textId="2F02673F" w:rsidR="00DD00F0" w:rsidRDefault="00DD00F0" w:rsidP="00474A12">
            <w:pPr>
              <w:pStyle w:val="FootnoteText"/>
              <w:rPr>
                <w:rFonts w:asciiTheme="minorHAnsi" w:eastAsiaTheme="minorHAnsi" w:hAnsiTheme="minorHAnsi" w:cstheme="minorBidi"/>
                <w:sz w:val="22"/>
                <w:szCs w:val="22"/>
                <w:lang w:val="hr-HR" w:eastAsia="en-US"/>
              </w:rPr>
            </w:pPr>
            <w:r>
              <w:rPr>
                <w:rFonts w:asciiTheme="minorHAnsi" w:eastAsia="Times New Roman" w:hAnsiTheme="minorHAnsi" w:cstheme="minorBidi"/>
                <w:noProof/>
                <w:sz w:val="22"/>
                <w:szCs w:val="22"/>
                <w:lang w:val="hr-HR" w:eastAsia="en-US"/>
              </w:rPr>
              <w:t xml:space="preserve">Ukoliko je trošak </w:t>
            </w:r>
            <w:r w:rsidR="00893ACA">
              <w:rPr>
                <w:rFonts w:asciiTheme="minorHAnsi" w:eastAsia="Times New Roman" w:hAnsiTheme="minorHAnsi" w:cstheme="minorBidi"/>
                <w:noProof/>
                <w:sz w:val="22"/>
                <w:szCs w:val="22"/>
                <w:lang w:val="hr-HR" w:eastAsia="en-US"/>
              </w:rPr>
              <w:t xml:space="preserve">ugovora o uslugama s fizičkom osobom u iznosu od </w:t>
            </w:r>
            <w:r w:rsidR="00893ACA" w:rsidRPr="00893ACA">
              <w:rPr>
                <w:rFonts w:asciiTheme="minorHAnsi" w:eastAsia="Times New Roman" w:hAnsiTheme="minorHAnsi" w:cstheme="minorBidi"/>
                <w:noProof/>
                <w:sz w:val="22"/>
                <w:szCs w:val="22"/>
                <w:lang w:val="hr-HR" w:eastAsia="en-US"/>
              </w:rPr>
              <w:t>200</w:t>
            </w:r>
            <w:r w:rsidR="00893ACA">
              <w:rPr>
                <w:rFonts w:asciiTheme="minorHAnsi" w:eastAsia="Times New Roman" w:hAnsiTheme="minorHAnsi" w:cstheme="minorBidi"/>
                <w:noProof/>
                <w:sz w:val="22"/>
                <w:szCs w:val="22"/>
                <w:lang w:val="hr-HR" w:eastAsia="en-US"/>
              </w:rPr>
              <w:t>.000,00 kn ili više (bez PDV-a)</w:t>
            </w:r>
            <w:r w:rsidR="00893ACA" w:rsidRPr="00893ACA">
              <w:rPr>
                <w:rFonts w:asciiTheme="minorHAnsi" w:eastAsia="Times New Roman" w:hAnsiTheme="minorHAnsi" w:cstheme="minorBidi"/>
                <w:noProof/>
                <w:sz w:val="22"/>
                <w:szCs w:val="22"/>
                <w:lang w:val="hr-HR" w:eastAsia="en-US"/>
              </w:rPr>
              <w:t xml:space="preserve"> </w:t>
            </w:r>
            <w:r>
              <w:rPr>
                <w:rFonts w:asciiTheme="minorHAnsi" w:eastAsia="Times New Roman" w:hAnsiTheme="minorHAnsi" w:cstheme="minorBidi"/>
                <w:noProof/>
                <w:sz w:val="22"/>
                <w:szCs w:val="22"/>
                <w:lang w:val="hr-HR" w:eastAsia="en-US"/>
              </w:rPr>
              <w:t>opravdan, jasno povezan</w:t>
            </w:r>
            <w:r w:rsidRPr="00296D17">
              <w:rPr>
                <w:rFonts w:asciiTheme="minorHAnsi" w:eastAsia="Times New Roman" w:hAnsiTheme="minorHAnsi" w:cstheme="minorBidi"/>
                <w:noProof/>
                <w:sz w:val="22"/>
                <w:szCs w:val="22"/>
                <w:lang w:val="hr-HR" w:eastAsia="en-US"/>
              </w:rPr>
              <w:t xml:space="preserve"> s projektnim aktivno</w:t>
            </w:r>
            <w:r>
              <w:rPr>
                <w:rFonts w:asciiTheme="minorHAnsi" w:eastAsia="Times New Roman" w:hAnsiTheme="minorHAnsi" w:cstheme="minorBidi"/>
                <w:noProof/>
                <w:sz w:val="22"/>
                <w:szCs w:val="22"/>
                <w:lang w:val="hr-HR" w:eastAsia="en-US"/>
              </w:rPr>
              <w:t>stima, odnosno ukoliko doprinosi</w:t>
            </w:r>
            <w:r w:rsidRPr="00296D17">
              <w:rPr>
                <w:rFonts w:asciiTheme="minorHAnsi" w:eastAsia="Times New Roman" w:hAnsiTheme="minorHAnsi" w:cstheme="minorBidi"/>
                <w:noProof/>
                <w:sz w:val="22"/>
                <w:szCs w:val="22"/>
                <w:lang w:val="hr-HR" w:eastAsia="en-US"/>
              </w:rPr>
              <w:t xml:space="preserve"> ostvarenju ciljeva projekta</w:t>
            </w:r>
            <w:r>
              <w:rPr>
                <w:rFonts w:asciiTheme="minorHAnsi" w:eastAsia="Times New Roman" w:hAnsiTheme="minorHAnsi" w:cstheme="minorBidi"/>
                <w:noProof/>
                <w:sz w:val="22"/>
                <w:szCs w:val="22"/>
                <w:lang w:val="hr-HR" w:eastAsia="en-US"/>
              </w:rPr>
              <w:t xml:space="preserve">, takav trošak je prihvatljiv. No, on se u tom slučaju </w:t>
            </w:r>
            <w:r w:rsidRPr="000D5844">
              <w:rPr>
                <w:rFonts w:asciiTheme="minorHAnsi" w:eastAsia="Times New Roman" w:hAnsiTheme="minorHAnsi" w:cstheme="minorBidi"/>
                <w:noProof/>
                <w:sz w:val="22"/>
                <w:szCs w:val="22"/>
                <w:lang w:val="hr-HR" w:eastAsia="en-US"/>
              </w:rPr>
              <w:t xml:space="preserve">ne svrstava u </w:t>
            </w:r>
            <w:r w:rsidRPr="000D5844">
              <w:rPr>
                <w:rFonts w:eastAsia="Times New Roman"/>
                <w:sz w:val="22"/>
                <w:szCs w:val="22"/>
              </w:rPr>
              <w:t>izravne troškove osoblja</w:t>
            </w:r>
            <w:r w:rsidRPr="000D5844">
              <w:rPr>
                <w:rFonts w:eastAsia="Times New Roman"/>
                <w:sz w:val="22"/>
                <w:szCs w:val="22"/>
                <w:lang w:val="hr-HR"/>
              </w:rPr>
              <w:t>, već u ostale izravne troškove.</w:t>
            </w:r>
            <w:r>
              <w:rPr>
                <w:rFonts w:asciiTheme="minorHAnsi" w:eastAsiaTheme="minorHAnsi" w:hAnsiTheme="minorHAnsi" w:cstheme="minorBidi"/>
                <w:sz w:val="22"/>
                <w:szCs w:val="22"/>
                <w:lang w:val="hr-HR" w:eastAsia="en-US"/>
              </w:rPr>
              <w:t xml:space="preserve"> </w:t>
            </w:r>
          </w:p>
          <w:p w14:paraId="5D89F61A" w14:textId="665F9417" w:rsidR="00DD00F0" w:rsidRPr="00296D17" w:rsidRDefault="00DD00F0" w:rsidP="00474A12">
            <w:pPr>
              <w:pStyle w:val="FootnoteText"/>
              <w:rPr>
                <w:rFonts w:asciiTheme="minorHAnsi" w:eastAsia="Times New Roman" w:hAnsiTheme="minorHAnsi" w:cstheme="minorBidi"/>
                <w:noProof/>
                <w:sz w:val="22"/>
                <w:szCs w:val="22"/>
                <w:lang w:val="hr-HR" w:eastAsia="en-US"/>
              </w:rPr>
            </w:pPr>
            <w:r>
              <w:rPr>
                <w:rFonts w:asciiTheme="minorHAnsi" w:eastAsiaTheme="minorHAnsi" w:hAnsiTheme="minorHAnsi" w:cstheme="minorBidi"/>
                <w:sz w:val="22"/>
                <w:szCs w:val="22"/>
                <w:lang w:val="hr-HR" w:eastAsia="en-US"/>
              </w:rPr>
              <w:t>Navedeno ograničenje od 200.000,00 kn primjenjuje se na pojedinačne ugovore, a ne na cjelokupne troškove ugovora o uslugama u okviru projektnog prijedloga.</w:t>
            </w:r>
          </w:p>
        </w:tc>
      </w:tr>
      <w:tr w:rsidR="00DD00F0" w:rsidRPr="007060DE" w14:paraId="56B0B09A" w14:textId="77777777" w:rsidTr="00DD00F0">
        <w:tc>
          <w:tcPr>
            <w:tcW w:w="562" w:type="dxa"/>
          </w:tcPr>
          <w:p w14:paraId="55A7A2BF" w14:textId="7BC11A15" w:rsidR="00DD00F0" w:rsidRDefault="00DD00F0" w:rsidP="00D27AE2">
            <w:pPr>
              <w:rPr>
                <w:rFonts w:eastAsia="Times New Roman"/>
              </w:rPr>
            </w:pPr>
            <w:r>
              <w:rPr>
                <w:rFonts w:eastAsia="Times New Roman"/>
              </w:rPr>
              <w:t>31</w:t>
            </w:r>
          </w:p>
        </w:tc>
        <w:tc>
          <w:tcPr>
            <w:tcW w:w="3828" w:type="dxa"/>
          </w:tcPr>
          <w:p w14:paraId="0299A6A4" w14:textId="2EFCDC73" w:rsidR="00DD00F0" w:rsidRDefault="00DD00F0" w:rsidP="00CA79C4">
            <w:pPr>
              <w:tabs>
                <w:tab w:val="left" w:pos="1095"/>
              </w:tabs>
            </w:pPr>
            <w:r>
              <w:t xml:space="preserve">Sukladno točki </w:t>
            </w:r>
            <w:r w:rsidRPr="00296D17">
              <w:t xml:space="preserve">2.1.1 </w:t>
            </w:r>
            <w:r w:rsidRPr="00296D17">
              <w:rPr>
                <w:i/>
              </w:rPr>
              <w:t>Prihvatljivi prijavitelji i partneri za skupinu aktivnosti A</w:t>
            </w:r>
            <w:r>
              <w:t xml:space="preserve"> Uputa za prijavitelje, prihvatljivi su prijavitelji jedino one jedinice lokalne samouprave koje imaju manje od 100.000 stanovnika. Prema mom iskustvu, takve jedinice lokalne samouprave imaju najviše 6-8 zaposlenika u općini te nemaju iskustva provođenja projekata većeg opsega. Na koji način bi se takvim prijaviteljima </w:t>
            </w:r>
            <w:r>
              <w:lastRenderedPageBreak/>
              <w:t>moglo objasniti da će oni ostvariti određene koristi iz projektnih aktivnosti? Konkretno, u smislu ljudskih kapaciteta, trebaju li oni napraviti preraspodjelu poslova kako bi mogli provoditi svoj dio zaduženja na projektu ili mogu zaposliti novu osobu za izvođenje poslova vezanih uz projekt u okviru svoje organizacije?</w:t>
            </w:r>
          </w:p>
        </w:tc>
        <w:tc>
          <w:tcPr>
            <w:tcW w:w="5103" w:type="dxa"/>
          </w:tcPr>
          <w:p w14:paraId="1E0543CC" w14:textId="668B59DC" w:rsidR="00DD00F0" w:rsidRPr="00844F1A" w:rsidRDefault="00DD00F0" w:rsidP="00BD1ED7">
            <w:pPr>
              <w:pStyle w:val="FootnoteText"/>
              <w:rPr>
                <w:rFonts w:eastAsia="Times New Roman"/>
                <w:sz w:val="22"/>
                <w:szCs w:val="22"/>
                <w:lang w:val="hr-HR"/>
              </w:rPr>
            </w:pPr>
            <w:r w:rsidRPr="00844F1A">
              <w:rPr>
                <w:rFonts w:eastAsia="Times New Roman"/>
                <w:sz w:val="22"/>
                <w:szCs w:val="22"/>
              </w:rPr>
              <w:lastRenderedPageBreak/>
              <w:t>Plaće/ naknade osobama koje izravno sudjeluju u provedbi projektnih aktivnosti prihvatljiv</w:t>
            </w:r>
            <w:r w:rsidRPr="00844F1A">
              <w:rPr>
                <w:rFonts w:eastAsia="Times New Roman"/>
                <w:sz w:val="22"/>
                <w:szCs w:val="22"/>
                <w:lang w:val="hr-HR"/>
              </w:rPr>
              <w:t xml:space="preserve"> su</w:t>
            </w:r>
            <w:r w:rsidRPr="00844F1A">
              <w:rPr>
                <w:rFonts w:eastAsia="Times New Roman"/>
                <w:sz w:val="22"/>
                <w:szCs w:val="22"/>
              </w:rPr>
              <w:t xml:space="preserve"> trošak u okviru ovog Poziva.</w:t>
            </w:r>
            <w:r w:rsidRPr="00844F1A">
              <w:rPr>
                <w:rFonts w:eastAsia="Times New Roman"/>
                <w:sz w:val="22"/>
                <w:szCs w:val="22"/>
                <w:lang w:val="hr-HR"/>
              </w:rPr>
              <w:t xml:space="preserve"> </w:t>
            </w:r>
            <w:r>
              <w:rPr>
                <w:rFonts w:eastAsia="Times New Roman"/>
                <w:sz w:val="22"/>
                <w:szCs w:val="22"/>
                <w:lang w:val="hr-HR"/>
              </w:rPr>
              <w:t>U</w:t>
            </w:r>
            <w:r w:rsidRPr="00844F1A">
              <w:rPr>
                <w:rFonts w:eastAsia="Times New Roman"/>
                <w:sz w:val="22"/>
                <w:szCs w:val="22"/>
                <w:lang w:val="hr-HR"/>
              </w:rPr>
              <w:t xml:space="preserve"> navedenom konkretnom slučaju, jedinica lokalne samouprave može zaposliti novu osobu na puno ili dio radnog vremena, sukladno </w:t>
            </w:r>
            <w:r>
              <w:rPr>
                <w:rFonts w:eastAsia="Times New Roman"/>
                <w:sz w:val="22"/>
                <w:szCs w:val="22"/>
                <w:lang w:val="hr-HR"/>
              </w:rPr>
              <w:t xml:space="preserve">zaduženjima u okviru projektnih aktivnosti te u skladu </w:t>
            </w:r>
            <w:r w:rsidRPr="00844F1A">
              <w:rPr>
                <w:rFonts w:eastAsia="Times New Roman"/>
                <w:sz w:val="22"/>
                <w:szCs w:val="22"/>
                <w:lang w:val="hr-HR"/>
              </w:rPr>
              <w:t>s primjenjivim propisima/</w:t>
            </w:r>
            <w:r>
              <w:rPr>
                <w:rFonts w:eastAsia="Times New Roman"/>
                <w:sz w:val="22"/>
                <w:szCs w:val="22"/>
                <w:lang w:val="hr-HR"/>
              </w:rPr>
              <w:t xml:space="preserve"> </w:t>
            </w:r>
            <w:r w:rsidRPr="00844F1A">
              <w:rPr>
                <w:rFonts w:eastAsia="Times New Roman"/>
                <w:sz w:val="22"/>
                <w:szCs w:val="22"/>
                <w:lang w:val="hr-HR"/>
              </w:rPr>
              <w:t>internim aktima/</w:t>
            </w:r>
            <w:r>
              <w:rPr>
                <w:rFonts w:eastAsia="Times New Roman"/>
                <w:sz w:val="22"/>
                <w:szCs w:val="22"/>
                <w:lang w:val="hr-HR"/>
              </w:rPr>
              <w:t xml:space="preserve"> </w:t>
            </w:r>
            <w:r w:rsidRPr="00844F1A">
              <w:rPr>
                <w:rFonts w:eastAsia="Times New Roman"/>
                <w:sz w:val="22"/>
                <w:szCs w:val="22"/>
                <w:lang w:val="hr-HR"/>
              </w:rPr>
              <w:t>uputama koje reguliraju zapošljavanje pri navedenoj organizaciji.</w:t>
            </w:r>
          </w:p>
          <w:p w14:paraId="5B9AA4CA" w14:textId="43BD827E" w:rsidR="00DD00F0" w:rsidRPr="00BD1ED7" w:rsidRDefault="00DD00F0" w:rsidP="00951A84">
            <w:pPr>
              <w:pStyle w:val="FootnoteText"/>
              <w:rPr>
                <w:rFonts w:eastAsia="Times New Roman"/>
                <w:lang w:val="hr-HR"/>
              </w:rPr>
            </w:pPr>
          </w:p>
        </w:tc>
      </w:tr>
    </w:tbl>
    <w:p w14:paraId="13EBCD01" w14:textId="77777777" w:rsidR="0016404E" w:rsidRPr="007060DE" w:rsidRDefault="0016404E">
      <w:pPr>
        <w:rPr>
          <w:rFonts w:eastAsia="Times New Roman"/>
        </w:rPr>
      </w:pPr>
    </w:p>
    <w:sectPr w:rsidR="0016404E" w:rsidRPr="007060DE">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342C20" w16cid:durableId="1E2587C2"/>
  <w16cid:commentId w16cid:paraId="6C36F683" w16cid:durableId="1E258EFE"/>
  <w16cid:commentId w16cid:paraId="69D0B10B" w16cid:durableId="1E2C0CC5"/>
  <w16cid:commentId w16cid:paraId="092AAA78" w16cid:durableId="1E2C0117"/>
  <w16cid:commentId w16cid:paraId="52805D4A" w16cid:durableId="1E2587C3"/>
  <w16cid:commentId w16cid:paraId="09832165" w16cid:durableId="1E2C0166"/>
  <w16cid:commentId w16cid:paraId="0CC1FCC3" w16cid:durableId="1E2587C4"/>
  <w16cid:commentId w16cid:paraId="40B8BBE7" w16cid:durableId="1E2588DE"/>
  <w16cid:commentId w16cid:paraId="29929D28" w16cid:durableId="1E2C01E0"/>
  <w16cid:commentId w16cid:paraId="01CC25FB" w16cid:durableId="1E2587C5"/>
  <w16cid:commentId w16cid:paraId="72C0CE4F" w16cid:durableId="1E258A32"/>
  <w16cid:commentId w16cid:paraId="065A06AA" w16cid:durableId="1E2C0F5E"/>
  <w16cid:commentId w16cid:paraId="19B79F1A" w16cid:durableId="1E258E31"/>
  <w16cid:commentId w16cid:paraId="735649CC" w16cid:durableId="1E2587C6"/>
  <w16cid:commentId w16cid:paraId="31FB18EB" w16cid:durableId="1E296D7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Droid Sans Fallback">
    <w:altName w:val="Segoe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1B14"/>
    <w:multiLevelType w:val="hybridMultilevel"/>
    <w:tmpl w:val="1D6C40F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18101F7"/>
    <w:multiLevelType w:val="hybridMultilevel"/>
    <w:tmpl w:val="343EB01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29A261B0"/>
    <w:multiLevelType w:val="hybridMultilevel"/>
    <w:tmpl w:val="9D30EA1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A040CA8"/>
    <w:multiLevelType w:val="hybridMultilevel"/>
    <w:tmpl w:val="E64804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2AF31EA"/>
    <w:multiLevelType w:val="hybridMultilevel"/>
    <w:tmpl w:val="DB04BCC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3BAB61A9"/>
    <w:multiLevelType w:val="multilevel"/>
    <w:tmpl w:val="CBA6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F2A41"/>
    <w:multiLevelType w:val="hybridMultilevel"/>
    <w:tmpl w:val="D39C9506"/>
    <w:lvl w:ilvl="0" w:tplc="21C01C24">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00833F2"/>
    <w:multiLevelType w:val="hybridMultilevel"/>
    <w:tmpl w:val="7DB646E2"/>
    <w:lvl w:ilvl="0" w:tplc="90801DFA">
      <w:numFmt w:val="bullet"/>
      <w:lvlText w:val="-"/>
      <w:lvlJc w:val="left"/>
      <w:pPr>
        <w:ind w:left="360" w:hanging="360"/>
      </w:pPr>
      <w:rPr>
        <w:rFonts w:ascii="Trebuchet MS" w:eastAsia="Calibri" w:hAnsi="Trebuchet M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D673A48"/>
    <w:multiLevelType w:val="hybridMultilevel"/>
    <w:tmpl w:val="859AD536"/>
    <w:lvl w:ilvl="0" w:tplc="BC3E0AD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 w:numId="7">
    <w:abstractNumId w:val="1"/>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4E"/>
    <w:rsid w:val="00013FAC"/>
    <w:rsid w:val="00014BC4"/>
    <w:rsid w:val="0001530D"/>
    <w:rsid w:val="00017516"/>
    <w:rsid w:val="00020DEC"/>
    <w:rsid w:val="00023F40"/>
    <w:rsid w:val="00032508"/>
    <w:rsid w:val="000336E6"/>
    <w:rsid w:val="000338C1"/>
    <w:rsid w:val="00035A86"/>
    <w:rsid w:val="00037E50"/>
    <w:rsid w:val="0004182D"/>
    <w:rsid w:val="00041F5D"/>
    <w:rsid w:val="00046CBC"/>
    <w:rsid w:val="000510D3"/>
    <w:rsid w:val="000662D6"/>
    <w:rsid w:val="00066F47"/>
    <w:rsid w:val="00067B5E"/>
    <w:rsid w:val="0007146E"/>
    <w:rsid w:val="00071E0C"/>
    <w:rsid w:val="000767A9"/>
    <w:rsid w:val="00082D44"/>
    <w:rsid w:val="00091371"/>
    <w:rsid w:val="0009217B"/>
    <w:rsid w:val="0009286C"/>
    <w:rsid w:val="0009600D"/>
    <w:rsid w:val="000A1684"/>
    <w:rsid w:val="000B0609"/>
    <w:rsid w:val="000C06C5"/>
    <w:rsid w:val="000C2FC0"/>
    <w:rsid w:val="000C3A5E"/>
    <w:rsid w:val="000D00A5"/>
    <w:rsid w:val="000D37EF"/>
    <w:rsid w:val="000D3B48"/>
    <w:rsid w:val="000D455D"/>
    <w:rsid w:val="000D5844"/>
    <w:rsid w:val="000D75E9"/>
    <w:rsid w:val="000E04B3"/>
    <w:rsid w:val="000E17D3"/>
    <w:rsid w:val="000F2BD9"/>
    <w:rsid w:val="000F2C8A"/>
    <w:rsid w:val="000F2EDB"/>
    <w:rsid w:val="000F3735"/>
    <w:rsid w:val="000F4D98"/>
    <w:rsid w:val="00101122"/>
    <w:rsid w:val="00101471"/>
    <w:rsid w:val="001015B9"/>
    <w:rsid w:val="0010317B"/>
    <w:rsid w:val="00104806"/>
    <w:rsid w:val="00107E41"/>
    <w:rsid w:val="001105D9"/>
    <w:rsid w:val="00113950"/>
    <w:rsid w:val="00116E39"/>
    <w:rsid w:val="00117F71"/>
    <w:rsid w:val="00120E2E"/>
    <w:rsid w:val="00121680"/>
    <w:rsid w:val="00123521"/>
    <w:rsid w:val="00124A60"/>
    <w:rsid w:val="001478CF"/>
    <w:rsid w:val="001506B3"/>
    <w:rsid w:val="00154868"/>
    <w:rsid w:val="001558EC"/>
    <w:rsid w:val="00156DC4"/>
    <w:rsid w:val="00161857"/>
    <w:rsid w:val="0016404E"/>
    <w:rsid w:val="001653BB"/>
    <w:rsid w:val="0016587E"/>
    <w:rsid w:val="00166748"/>
    <w:rsid w:val="00175A59"/>
    <w:rsid w:val="0017612A"/>
    <w:rsid w:val="00183A19"/>
    <w:rsid w:val="00187702"/>
    <w:rsid w:val="001924AA"/>
    <w:rsid w:val="001A037B"/>
    <w:rsid w:val="001B3079"/>
    <w:rsid w:val="001B3871"/>
    <w:rsid w:val="001B443E"/>
    <w:rsid w:val="001C454D"/>
    <w:rsid w:val="001C7720"/>
    <w:rsid w:val="001D1B2F"/>
    <w:rsid w:val="001D3221"/>
    <w:rsid w:val="001D364E"/>
    <w:rsid w:val="001D5738"/>
    <w:rsid w:val="001E2839"/>
    <w:rsid w:val="001E3896"/>
    <w:rsid w:val="001E5813"/>
    <w:rsid w:val="001F4AAE"/>
    <w:rsid w:val="001F68F5"/>
    <w:rsid w:val="001F75B6"/>
    <w:rsid w:val="002025E8"/>
    <w:rsid w:val="00207939"/>
    <w:rsid w:val="0021460B"/>
    <w:rsid w:val="00226004"/>
    <w:rsid w:val="00230724"/>
    <w:rsid w:val="00233B33"/>
    <w:rsid w:val="00235813"/>
    <w:rsid w:val="0023589E"/>
    <w:rsid w:val="00240CF2"/>
    <w:rsid w:val="00246EB2"/>
    <w:rsid w:val="0024717E"/>
    <w:rsid w:val="00247460"/>
    <w:rsid w:val="00252FDF"/>
    <w:rsid w:val="00255808"/>
    <w:rsid w:val="00257D56"/>
    <w:rsid w:val="0026229C"/>
    <w:rsid w:val="002655B5"/>
    <w:rsid w:val="0027254A"/>
    <w:rsid w:val="0027472E"/>
    <w:rsid w:val="0027748B"/>
    <w:rsid w:val="00282292"/>
    <w:rsid w:val="002872FA"/>
    <w:rsid w:val="00291BD5"/>
    <w:rsid w:val="00291EAA"/>
    <w:rsid w:val="0029226D"/>
    <w:rsid w:val="0029249C"/>
    <w:rsid w:val="00292E86"/>
    <w:rsid w:val="00293DF7"/>
    <w:rsid w:val="00296D17"/>
    <w:rsid w:val="002B17A7"/>
    <w:rsid w:val="002B2862"/>
    <w:rsid w:val="002C76AA"/>
    <w:rsid w:val="002D3ED3"/>
    <w:rsid w:val="002D44B3"/>
    <w:rsid w:val="002D4643"/>
    <w:rsid w:val="002D4C47"/>
    <w:rsid w:val="002D6C96"/>
    <w:rsid w:val="002D7A65"/>
    <w:rsid w:val="002E1B76"/>
    <w:rsid w:val="002E47D9"/>
    <w:rsid w:val="002E7429"/>
    <w:rsid w:val="002F1FA0"/>
    <w:rsid w:val="002F52A1"/>
    <w:rsid w:val="002F76C3"/>
    <w:rsid w:val="002F7C7F"/>
    <w:rsid w:val="00302457"/>
    <w:rsid w:val="003126AC"/>
    <w:rsid w:val="00314650"/>
    <w:rsid w:val="00322B54"/>
    <w:rsid w:val="00324333"/>
    <w:rsid w:val="0032637D"/>
    <w:rsid w:val="003266C2"/>
    <w:rsid w:val="003341FF"/>
    <w:rsid w:val="00334D61"/>
    <w:rsid w:val="00334E3B"/>
    <w:rsid w:val="0033517A"/>
    <w:rsid w:val="003410DF"/>
    <w:rsid w:val="00346E41"/>
    <w:rsid w:val="00347D00"/>
    <w:rsid w:val="00350E28"/>
    <w:rsid w:val="0035517E"/>
    <w:rsid w:val="00355917"/>
    <w:rsid w:val="00356D2C"/>
    <w:rsid w:val="00362C6F"/>
    <w:rsid w:val="00363C43"/>
    <w:rsid w:val="00366DC8"/>
    <w:rsid w:val="003737E8"/>
    <w:rsid w:val="00374EBD"/>
    <w:rsid w:val="00377A5D"/>
    <w:rsid w:val="0039399C"/>
    <w:rsid w:val="00396ABF"/>
    <w:rsid w:val="003A50FA"/>
    <w:rsid w:val="003A6708"/>
    <w:rsid w:val="003B044E"/>
    <w:rsid w:val="003B0FA8"/>
    <w:rsid w:val="003B4FE5"/>
    <w:rsid w:val="003B52ED"/>
    <w:rsid w:val="003B5AD5"/>
    <w:rsid w:val="003B5B1D"/>
    <w:rsid w:val="003B77E3"/>
    <w:rsid w:val="003C7BC8"/>
    <w:rsid w:val="003D2D3E"/>
    <w:rsid w:val="003D6853"/>
    <w:rsid w:val="003D6EDD"/>
    <w:rsid w:val="003E5E8F"/>
    <w:rsid w:val="003E6954"/>
    <w:rsid w:val="003F1095"/>
    <w:rsid w:val="00405465"/>
    <w:rsid w:val="00417A19"/>
    <w:rsid w:val="00426BB2"/>
    <w:rsid w:val="00437396"/>
    <w:rsid w:val="00442A74"/>
    <w:rsid w:val="00443214"/>
    <w:rsid w:val="00452647"/>
    <w:rsid w:val="004559D3"/>
    <w:rsid w:val="004706AB"/>
    <w:rsid w:val="00474A12"/>
    <w:rsid w:val="004813A7"/>
    <w:rsid w:val="004843D7"/>
    <w:rsid w:val="004855B9"/>
    <w:rsid w:val="00486CF7"/>
    <w:rsid w:val="00491042"/>
    <w:rsid w:val="0049260D"/>
    <w:rsid w:val="0049363A"/>
    <w:rsid w:val="00494F67"/>
    <w:rsid w:val="004974A7"/>
    <w:rsid w:val="00497F8E"/>
    <w:rsid w:val="004A2138"/>
    <w:rsid w:val="004B1740"/>
    <w:rsid w:val="004B3061"/>
    <w:rsid w:val="004B6AAB"/>
    <w:rsid w:val="004B6E7C"/>
    <w:rsid w:val="004D3866"/>
    <w:rsid w:val="004E08BA"/>
    <w:rsid w:val="004E567A"/>
    <w:rsid w:val="004E7355"/>
    <w:rsid w:val="004F64B9"/>
    <w:rsid w:val="004F7E50"/>
    <w:rsid w:val="005029F7"/>
    <w:rsid w:val="00502F91"/>
    <w:rsid w:val="00506C47"/>
    <w:rsid w:val="00507909"/>
    <w:rsid w:val="00511856"/>
    <w:rsid w:val="00512B44"/>
    <w:rsid w:val="0051771F"/>
    <w:rsid w:val="00520E65"/>
    <w:rsid w:val="005213E0"/>
    <w:rsid w:val="00522622"/>
    <w:rsid w:val="0052496B"/>
    <w:rsid w:val="00524F61"/>
    <w:rsid w:val="00526106"/>
    <w:rsid w:val="005263F8"/>
    <w:rsid w:val="00527FA5"/>
    <w:rsid w:val="00535573"/>
    <w:rsid w:val="00546616"/>
    <w:rsid w:val="00553601"/>
    <w:rsid w:val="00560323"/>
    <w:rsid w:val="0056238A"/>
    <w:rsid w:val="00563F34"/>
    <w:rsid w:val="005642B7"/>
    <w:rsid w:val="005652B2"/>
    <w:rsid w:val="0056686B"/>
    <w:rsid w:val="00572605"/>
    <w:rsid w:val="00574A3F"/>
    <w:rsid w:val="00583906"/>
    <w:rsid w:val="00595198"/>
    <w:rsid w:val="0059591E"/>
    <w:rsid w:val="005959A8"/>
    <w:rsid w:val="005A620F"/>
    <w:rsid w:val="005A6BF6"/>
    <w:rsid w:val="005B1E9A"/>
    <w:rsid w:val="005B46AB"/>
    <w:rsid w:val="005B4E74"/>
    <w:rsid w:val="005B7017"/>
    <w:rsid w:val="005C5AF0"/>
    <w:rsid w:val="005D1120"/>
    <w:rsid w:val="005E1387"/>
    <w:rsid w:val="005E76CC"/>
    <w:rsid w:val="005F52F6"/>
    <w:rsid w:val="00600046"/>
    <w:rsid w:val="0060241F"/>
    <w:rsid w:val="00605BA3"/>
    <w:rsid w:val="00607161"/>
    <w:rsid w:val="006122DE"/>
    <w:rsid w:val="006169AB"/>
    <w:rsid w:val="006217A7"/>
    <w:rsid w:val="00634DF4"/>
    <w:rsid w:val="00635AD3"/>
    <w:rsid w:val="00636658"/>
    <w:rsid w:val="00653F10"/>
    <w:rsid w:val="00655204"/>
    <w:rsid w:val="00662765"/>
    <w:rsid w:val="00663654"/>
    <w:rsid w:val="00670E75"/>
    <w:rsid w:val="006719AB"/>
    <w:rsid w:val="00674607"/>
    <w:rsid w:val="006770C1"/>
    <w:rsid w:val="00682EF3"/>
    <w:rsid w:val="00684BC4"/>
    <w:rsid w:val="00684DE3"/>
    <w:rsid w:val="00686114"/>
    <w:rsid w:val="00687A4A"/>
    <w:rsid w:val="006900B0"/>
    <w:rsid w:val="006907BF"/>
    <w:rsid w:val="00696306"/>
    <w:rsid w:val="00696E5E"/>
    <w:rsid w:val="006976B0"/>
    <w:rsid w:val="006A0725"/>
    <w:rsid w:val="006A1E9A"/>
    <w:rsid w:val="006A5EE6"/>
    <w:rsid w:val="006B285C"/>
    <w:rsid w:val="006C1E51"/>
    <w:rsid w:val="006C2853"/>
    <w:rsid w:val="006C42B2"/>
    <w:rsid w:val="006C5E78"/>
    <w:rsid w:val="006D0BAA"/>
    <w:rsid w:val="006D60AC"/>
    <w:rsid w:val="006E04BB"/>
    <w:rsid w:val="006E2FC8"/>
    <w:rsid w:val="006E704C"/>
    <w:rsid w:val="006E795E"/>
    <w:rsid w:val="006F1A50"/>
    <w:rsid w:val="006F4347"/>
    <w:rsid w:val="006F4921"/>
    <w:rsid w:val="00700FAB"/>
    <w:rsid w:val="007032E5"/>
    <w:rsid w:val="00705F60"/>
    <w:rsid w:val="007060DE"/>
    <w:rsid w:val="00706C3F"/>
    <w:rsid w:val="007162BB"/>
    <w:rsid w:val="007207E4"/>
    <w:rsid w:val="00721627"/>
    <w:rsid w:val="00722FE0"/>
    <w:rsid w:val="00723151"/>
    <w:rsid w:val="007238D9"/>
    <w:rsid w:val="007248B0"/>
    <w:rsid w:val="007258FC"/>
    <w:rsid w:val="007302BD"/>
    <w:rsid w:val="0073065A"/>
    <w:rsid w:val="00733139"/>
    <w:rsid w:val="00733502"/>
    <w:rsid w:val="0073629A"/>
    <w:rsid w:val="00737800"/>
    <w:rsid w:val="00740A48"/>
    <w:rsid w:val="007455AF"/>
    <w:rsid w:val="00764DF5"/>
    <w:rsid w:val="0077523E"/>
    <w:rsid w:val="00782A89"/>
    <w:rsid w:val="007840E6"/>
    <w:rsid w:val="007842E8"/>
    <w:rsid w:val="007874FC"/>
    <w:rsid w:val="0078768D"/>
    <w:rsid w:val="00787F25"/>
    <w:rsid w:val="007902A4"/>
    <w:rsid w:val="0079089E"/>
    <w:rsid w:val="00793263"/>
    <w:rsid w:val="00793B71"/>
    <w:rsid w:val="00793CDE"/>
    <w:rsid w:val="0079422A"/>
    <w:rsid w:val="00796892"/>
    <w:rsid w:val="00797876"/>
    <w:rsid w:val="007A0084"/>
    <w:rsid w:val="007A0889"/>
    <w:rsid w:val="007A0FFA"/>
    <w:rsid w:val="007A2557"/>
    <w:rsid w:val="007A3FC2"/>
    <w:rsid w:val="007B2060"/>
    <w:rsid w:val="007B3EB1"/>
    <w:rsid w:val="007B462C"/>
    <w:rsid w:val="007B52B4"/>
    <w:rsid w:val="007C61CB"/>
    <w:rsid w:val="007C62CF"/>
    <w:rsid w:val="007D1D64"/>
    <w:rsid w:val="007D3223"/>
    <w:rsid w:val="007D3FE0"/>
    <w:rsid w:val="007D4634"/>
    <w:rsid w:val="007D4DA6"/>
    <w:rsid w:val="007D64B9"/>
    <w:rsid w:val="007D6F90"/>
    <w:rsid w:val="007E1EE5"/>
    <w:rsid w:val="007E2FAB"/>
    <w:rsid w:val="007E5ABB"/>
    <w:rsid w:val="007F028B"/>
    <w:rsid w:val="007F2388"/>
    <w:rsid w:val="007F3F90"/>
    <w:rsid w:val="007F5B2C"/>
    <w:rsid w:val="007F6060"/>
    <w:rsid w:val="007F76FB"/>
    <w:rsid w:val="007F7DE4"/>
    <w:rsid w:val="00801B50"/>
    <w:rsid w:val="008030DA"/>
    <w:rsid w:val="00803608"/>
    <w:rsid w:val="00811211"/>
    <w:rsid w:val="0082265F"/>
    <w:rsid w:val="00826C89"/>
    <w:rsid w:val="008320D3"/>
    <w:rsid w:val="008325C6"/>
    <w:rsid w:val="008342E1"/>
    <w:rsid w:val="008376FD"/>
    <w:rsid w:val="00840FA7"/>
    <w:rsid w:val="00844F1A"/>
    <w:rsid w:val="00846E07"/>
    <w:rsid w:val="00851157"/>
    <w:rsid w:val="00853A97"/>
    <w:rsid w:val="00853B1D"/>
    <w:rsid w:val="00862B5F"/>
    <w:rsid w:val="00865017"/>
    <w:rsid w:val="00865F2E"/>
    <w:rsid w:val="008662F2"/>
    <w:rsid w:val="00871A0C"/>
    <w:rsid w:val="008721C5"/>
    <w:rsid w:val="00873DFC"/>
    <w:rsid w:val="008827E8"/>
    <w:rsid w:val="00893769"/>
    <w:rsid w:val="00893ACA"/>
    <w:rsid w:val="00894352"/>
    <w:rsid w:val="00897E15"/>
    <w:rsid w:val="008A0065"/>
    <w:rsid w:val="008B14D1"/>
    <w:rsid w:val="008B64C0"/>
    <w:rsid w:val="008C18AD"/>
    <w:rsid w:val="008C1A30"/>
    <w:rsid w:val="008C584C"/>
    <w:rsid w:val="008D056B"/>
    <w:rsid w:val="008D5D96"/>
    <w:rsid w:val="008D66A3"/>
    <w:rsid w:val="008E641F"/>
    <w:rsid w:val="008F011C"/>
    <w:rsid w:val="008F0C83"/>
    <w:rsid w:val="008F3A3A"/>
    <w:rsid w:val="00900D30"/>
    <w:rsid w:val="00901588"/>
    <w:rsid w:val="00902A91"/>
    <w:rsid w:val="00903930"/>
    <w:rsid w:val="00904611"/>
    <w:rsid w:val="00904A9B"/>
    <w:rsid w:val="009078B0"/>
    <w:rsid w:val="009079CF"/>
    <w:rsid w:val="009121D1"/>
    <w:rsid w:val="00912CD3"/>
    <w:rsid w:val="0091589A"/>
    <w:rsid w:val="009235F5"/>
    <w:rsid w:val="00926F16"/>
    <w:rsid w:val="00931BC1"/>
    <w:rsid w:val="00934C1D"/>
    <w:rsid w:val="009356CA"/>
    <w:rsid w:val="00937AB3"/>
    <w:rsid w:val="00941311"/>
    <w:rsid w:val="00942517"/>
    <w:rsid w:val="00946CC1"/>
    <w:rsid w:val="0095019F"/>
    <w:rsid w:val="00951A84"/>
    <w:rsid w:val="00954AAE"/>
    <w:rsid w:val="00956DD2"/>
    <w:rsid w:val="00957FD0"/>
    <w:rsid w:val="0096315F"/>
    <w:rsid w:val="009631E5"/>
    <w:rsid w:val="009650FF"/>
    <w:rsid w:val="00966676"/>
    <w:rsid w:val="009723A5"/>
    <w:rsid w:val="0097268A"/>
    <w:rsid w:val="00972EBB"/>
    <w:rsid w:val="0097606F"/>
    <w:rsid w:val="009818BE"/>
    <w:rsid w:val="00981C5F"/>
    <w:rsid w:val="009837B1"/>
    <w:rsid w:val="00984C17"/>
    <w:rsid w:val="00986867"/>
    <w:rsid w:val="009876AA"/>
    <w:rsid w:val="00990559"/>
    <w:rsid w:val="00992927"/>
    <w:rsid w:val="00997E41"/>
    <w:rsid w:val="009A0166"/>
    <w:rsid w:val="009A22AF"/>
    <w:rsid w:val="009A3898"/>
    <w:rsid w:val="009B1055"/>
    <w:rsid w:val="009B1A04"/>
    <w:rsid w:val="009B3305"/>
    <w:rsid w:val="009B4C39"/>
    <w:rsid w:val="009B553E"/>
    <w:rsid w:val="009C0913"/>
    <w:rsid w:val="009C26D7"/>
    <w:rsid w:val="009C30F8"/>
    <w:rsid w:val="009C5BD5"/>
    <w:rsid w:val="009C75C0"/>
    <w:rsid w:val="009D31B7"/>
    <w:rsid w:val="009D3B84"/>
    <w:rsid w:val="009D3C07"/>
    <w:rsid w:val="009D57EC"/>
    <w:rsid w:val="009E2AFB"/>
    <w:rsid w:val="009E642D"/>
    <w:rsid w:val="009F0278"/>
    <w:rsid w:val="009F121F"/>
    <w:rsid w:val="009F2EA6"/>
    <w:rsid w:val="009F43BA"/>
    <w:rsid w:val="009F5EED"/>
    <w:rsid w:val="009F60EC"/>
    <w:rsid w:val="009F6714"/>
    <w:rsid w:val="009F74B5"/>
    <w:rsid w:val="00A00045"/>
    <w:rsid w:val="00A0155B"/>
    <w:rsid w:val="00A02D5B"/>
    <w:rsid w:val="00A04B86"/>
    <w:rsid w:val="00A10E8E"/>
    <w:rsid w:val="00A12515"/>
    <w:rsid w:val="00A1278D"/>
    <w:rsid w:val="00A2143D"/>
    <w:rsid w:val="00A23CB1"/>
    <w:rsid w:val="00A252EC"/>
    <w:rsid w:val="00A253B7"/>
    <w:rsid w:val="00A2721F"/>
    <w:rsid w:val="00A33B95"/>
    <w:rsid w:val="00A4504A"/>
    <w:rsid w:val="00A45B4E"/>
    <w:rsid w:val="00A47E87"/>
    <w:rsid w:val="00A500CE"/>
    <w:rsid w:val="00A508DE"/>
    <w:rsid w:val="00A56F3B"/>
    <w:rsid w:val="00A60567"/>
    <w:rsid w:val="00A615E4"/>
    <w:rsid w:val="00A62FE3"/>
    <w:rsid w:val="00A6770F"/>
    <w:rsid w:val="00A71D8E"/>
    <w:rsid w:val="00A767FD"/>
    <w:rsid w:val="00A8137C"/>
    <w:rsid w:val="00A82D55"/>
    <w:rsid w:val="00A82DE9"/>
    <w:rsid w:val="00A84804"/>
    <w:rsid w:val="00A9109B"/>
    <w:rsid w:val="00A936DC"/>
    <w:rsid w:val="00A95884"/>
    <w:rsid w:val="00A9662E"/>
    <w:rsid w:val="00A9686A"/>
    <w:rsid w:val="00AA182A"/>
    <w:rsid w:val="00AA292A"/>
    <w:rsid w:val="00AA30BB"/>
    <w:rsid w:val="00AA3613"/>
    <w:rsid w:val="00AB6CFF"/>
    <w:rsid w:val="00AC15D3"/>
    <w:rsid w:val="00AC79DB"/>
    <w:rsid w:val="00AD136C"/>
    <w:rsid w:val="00AD21EE"/>
    <w:rsid w:val="00AE5FD8"/>
    <w:rsid w:val="00AE702A"/>
    <w:rsid w:val="00AF0101"/>
    <w:rsid w:val="00AF415D"/>
    <w:rsid w:val="00AF683D"/>
    <w:rsid w:val="00AF69E3"/>
    <w:rsid w:val="00B00AFC"/>
    <w:rsid w:val="00B05F3F"/>
    <w:rsid w:val="00B06F04"/>
    <w:rsid w:val="00B12243"/>
    <w:rsid w:val="00B13B51"/>
    <w:rsid w:val="00B14898"/>
    <w:rsid w:val="00B14999"/>
    <w:rsid w:val="00B2241B"/>
    <w:rsid w:val="00B321B4"/>
    <w:rsid w:val="00B3257C"/>
    <w:rsid w:val="00B337EF"/>
    <w:rsid w:val="00B36484"/>
    <w:rsid w:val="00B37537"/>
    <w:rsid w:val="00B4128C"/>
    <w:rsid w:val="00B418E4"/>
    <w:rsid w:val="00B43C2D"/>
    <w:rsid w:val="00B50B8E"/>
    <w:rsid w:val="00B545AD"/>
    <w:rsid w:val="00B54D4E"/>
    <w:rsid w:val="00B6081A"/>
    <w:rsid w:val="00B61114"/>
    <w:rsid w:val="00B6403C"/>
    <w:rsid w:val="00B65ACD"/>
    <w:rsid w:val="00B66DED"/>
    <w:rsid w:val="00B700C4"/>
    <w:rsid w:val="00B70325"/>
    <w:rsid w:val="00B74B7E"/>
    <w:rsid w:val="00B74EDA"/>
    <w:rsid w:val="00B75523"/>
    <w:rsid w:val="00B82BA8"/>
    <w:rsid w:val="00B83965"/>
    <w:rsid w:val="00B83F8C"/>
    <w:rsid w:val="00B86393"/>
    <w:rsid w:val="00B9029C"/>
    <w:rsid w:val="00B9192A"/>
    <w:rsid w:val="00B9227D"/>
    <w:rsid w:val="00B9257D"/>
    <w:rsid w:val="00BA05E8"/>
    <w:rsid w:val="00BA7176"/>
    <w:rsid w:val="00BA73EA"/>
    <w:rsid w:val="00BB15F4"/>
    <w:rsid w:val="00BB256B"/>
    <w:rsid w:val="00BB78B3"/>
    <w:rsid w:val="00BC3EB6"/>
    <w:rsid w:val="00BC6B8E"/>
    <w:rsid w:val="00BD1ED7"/>
    <w:rsid w:val="00BD3D15"/>
    <w:rsid w:val="00BE0FFF"/>
    <w:rsid w:val="00BE5496"/>
    <w:rsid w:val="00BF6CC1"/>
    <w:rsid w:val="00C024D5"/>
    <w:rsid w:val="00C03226"/>
    <w:rsid w:val="00C03D0B"/>
    <w:rsid w:val="00C04D4B"/>
    <w:rsid w:val="00C057A9"/>
    <w:rsid w:val="00C0716C"/>
    <w:rsid w:val="00C11E60"/>
    <w:rsid w:val="00C121AF"/>
    <w:rsid w:val="00C12ECE"/>
    <w:rsid w:val="00C20B60"/>
    <w:rsid w:val="00C21620"/>
    <w:rsid w:val="00C22626"/>
    <w:rsid w:val="00C236C0"/>
    <w:rsid w:val="00C33206"/>
    <w:rsid w:val="00C33A67"/>
    <w:rsid w:val="00C36014"/>
    <w:rsid w:val="00C36C5A"/>
    <w:rsid w:val="00C379AE"/>
    <w:rsid w:val="00C43AA7"/>
    <w:rsid w:val="00C50D52"/>
    <w:rsid w:val="00C51E55"/>
    <w:rsid w:val="00C540AC"/>
    <w:rsid w:val="00C57E37"/>
    <w:rsid w:val="00C64DE3"/>
    <w:rsid w:val="00C70D22"/>
    <w:rsid w:val="00C74E5F"/>
    <w:rsid w:val="00C77E23"/>
    <w:rsid w:val="00C815EE"/>
    <w:rsid w:val="00C81FD6"/>
    <w:rsid w:val="00C8354A"/>
    <w:rsid w:val="00C93134"/>
    <w:rsid w:val="00C9429E"/>
    <w:rsid w:val="00CA0880"/>
    <w:rsid w:val="00CA3348"/>
    <w:rsid w:val="00CA4C29"/>
    <w:rsid w:val="00CA79C4"/>
    <w:rsid w:val="00CB136D"/>
    <w:rsid w:val="00CB5430"/>
    <w:rsid w:val="00CC1B19"/>
    <w:rsid w:val="00CD2592"/>
    <w:rsid w:val="00CD285B"/>
    <w:rsid w:val="00CD41B7"/>
    <w:rsid w:val="00CD6A31"/>
    <w:rsid w:val="00CD6E56"/>
    <w:rsid w:val="00CD7412"/>
    <w:rsid w:val="00CE0306"/>
    <w:rsid w:val="00CE3B08"/>
    <w:rsid w:val="00CE6DB0"/>
    <w:rsid w:val="00CE6FDB"/>
    <w:rsid w:val="00CF0D3E"/>
    <w:rsid w:val="00CF5255"/>
    <w:rsid w:val="00CF7631"/>
    <w:rsid w:val="00CF7F6E"/>
    <w:rsid w:val="00D12842"/>
    <w:rsid w:val="00D1311A"/>
    <w:rsid w:val="00D141B6"/>
    <w:rsid w:val="00D155BB"/>
    <w:rsid w:val="00D16BCE"/>
    <w:rsid w:val="00D23E61"/>
    <w:rsid w:val="00D267D5"/>
    <w:rsid w:val="00D27AE2"/>
    <w:rsid w:val="00D32056"/>
    <w:rsid w:val="00D33FD9"/>
    <w:rsid w:val="00D37E31"/>
    <w:rsid w:val="00D402D7"/>
    <w:rsid w:val="00D54261"/>
    <w:rsid w:val="00D6321D"/>
    <w:rsid w:val="00D6658D"/>
    <w:rsid w:val="00D66BE2"/>
    <w:rsid w:val="00D71DCB"/>
    <w:rsid w:val="00D723B6"/>
    <w:rsid w:val="00D76D77"/>
    <w:rsid w:val="00D8383A"/>
    <w:rsid w:val="00D86708"/>
    <w:rsid w:val="00D90764"/>
    <w:rsid w:val="00D9102A"/>
    <w:rsid w:val="00D92201"/>
    <w:rsid w:val="00DA4EFA"/>
    <w:rsid w:val="00DA7D31"/>
    <w:rsid w:val="00DB06AB"/>
    <w:rsid w:val="00DB10CE"/>
    <w:rsid w:val="00DB18BE"/>
    <w:rsid w:val="00DB603F"/>
    <w:rsid w:val="00DB7036"/>
    <w:rsid w:val="00DB7554"/>
    <w:rsid w:val="00DC082F"/>
    <w:rsid w:val="00DC1940"/>
    <w:rsid w:val="00DC24C0"/>
    <w:rsid w:val="00DD00F0"/>
    <w:rsid w:val="00DD393A"/>
    <w:rsid w:val="00DD4856"/>
    <w:rsid w:val="00DD4ED3"/>
    <w:rsid w:val="00DD5CF4"/>
    <w:rsid w:val="00DE388C"/>
    <w:rsid w:val="00DE3A50"/>
    <w:rsid w:val="00DE51B0"/>
    <w:rsid w:val="00DE5FFB"/>
    <w:rsid w:val="00DE6D70"/>
    <w:rsid w:val="00DF159D"/>
    <w:rsid w:val="00DF2236"/>
    <w:rsid w:val="00DF234A"/>
    <w:rsid w:val="00DF59F4"/>
    <w:rsid w:val="00E02175"/>
    <w:rsid w:val="00E03755"/>
    <w:rsid w:val="00E03F8A"/>
    <w:rsid w:val="00E03FDF"/>
    <w:rsid w:val="00E055B0"/>
    <w:rsid w:val="00E12706"/>
    <w:rsid w:val="00E17D1A"/>
    <w:rsid w:val="00E24445"/>
    <w:rsid w:val="00E33338"/>
    <w:rsid w:val="00E4366D"/>
    <w:rsid w:val="00E50B6C"/>
    <w:rsid w:val="00E51A07"/>
    <w:rsid w:val="00E5359D"/>
    <w:rsid w:val="00E6486B"/>
    <w:rsid w:val="00E7202A"/>
    <w:rsid w:val="00E72984"/>
    <w:rsid w:val="00E72EE9"/>
    <w:rsid w:val="00E81CB7"/>
    <w:rsid w:val="00E87196"/>
    <w:rsid w:val="00E90930"/>
    <w:rsid w:val="00E9168D"/>
    <w:rsid w:val="00E9271D"/>
    <w:rsid w:val="00E93CFB"/>
    <w:rsid w:val="00E953F0"/>
    <w:rsid w:val="00E964B7"/>
    <w:rsid w:val="00E97715"/>
    <w:rsid w:val="00E97D2F"/>
    <w:rsid w:val="00EA741C"/>
    <w:rsid w:val="00EB582F"/>
    <w:rsid w:val="00EC1D65"/>
    <w:rsid w:val="00EC4569"/>
    <w:rsid w:val="00EC4D5E"/>
    <w:rsid w:val="00EC7CDA"/>
    <w:rsid w:val="00ED3077"/>
    <w:rsid w:val="00ED3E79"/>
    <w:rsid w:val="00ED4AC8"/>
    <w:rsid w:val="00EE1184"/>
    <w:rsid w:val="00EE644C"/>
    <w:rsid w:val="00EF183B"/>
    <w:rsid w:val="00F00E72"/>
    <w:rsid w:val="00F01EF3"/>
    <w:rsid w:val="00F03E38"/>
    <w:rsid w:val="00F15FB4"/>
    <w:rsid w:val="00F162A5"/>
    <w:rsid w:val="00F17F86"/>
    <w:rsid w:val="00F21A6B"/>
    <w:rsid w:val="00F22D64"/>
    <w:rsid w:val="00F26821"/>
    <w:rsid w:val="00F27DB2"/>
    <w:rsid w:val="00F31A98"/>
    <w:rsid w:val="00F32906"/>
    <w:rsid w:val="00F41DC0"/>
    <w:rsid w:val="00F42F8C"/>
    <w:rsid w:val="00F46C48"/>
    <w:rsid w:val="00F5331D"/>
    <w:rsid w:val="00F539BF"/>
    <w:rsid w:val="00F5610D"/>
    <w:rsid w:val="00F563F8"/>
    <w:rsid w:val="00F60723"/>
    <w:rsid w:val="00F611BC"/>
    <w:rsid w:val="00F6403D"/>
    <w:rsid w:val="00F645FF"/>
    <w:rsid w:val="00F66BFA"/>
    <w:rsid w:val="00F67A93"/>
    <w:rsid w:val="00F71191"/>
    <w:rsid w:val="00F72BBB"/>
    <w:rsid w:val="00F756EB"/>
    <w:rsid w:val="00F762CC"/>
    <w:rsid w:val="00F7703F"/>
    <w:rsid w:val="00F8386E"/>
    <w:rsid w:val="00F83D9E"/>
    <w:rsid w:val="00F844D4"/>
    <w:rsid w:val="00F86DE9"/>
    <w:rsid w:val="00F87819"/>
    <w:rsid w:val="00F87B14"/>
    <w:rsid w:val="00F91E57"/>
    <w:rsid w:val="00F94183"/>
    <w:rsid w:val="00F96123"/>
    <w:rsid w:val="00FA14BE"/>
    <w:rsid w:val="00FA5A6E"/>
    <w:rsid w:val="00FA7BC6"/>
    <w:rsid w:val="00FB0FDC"/>
    <w:rsid w:val="00FB478E"/>
    <w:rsid w:val="00FC0CDB"/>
    <w:rsid w:val="00FC18FA"/>
    <w:rsid w:val="00FD09F1"/>
    <w:rsid w:val="00FD2E26"/>
    <w:rsid w:val="00FD2EA8"/>
    <w:rsid w:val="00FD4568"/>
    <w:rsid w:val="00FE3219"/>
    <w:rsid w:val="00FE3672"/>
    <w:rsid w:val="00FE4EAA"/>
    <w:rsid w:val="00FF49AA"/>
    <w:rsid w:val="00FF4AD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E0DD"/>
  <w15:docId w15:val="{E93A6099-51FD-4567-AB0B-E730CF02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E1EE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E1EE5"/>
    <w:rPr>
      <w:rFonts w:ascii="Calibri" w:hAnsi="Calibri"/>
      <w:noProof/>
      <w:szCs w:val="21"/>
    </w:rPr>
  </w:style>
  <w:style w:type="character" w:styleId="Hyperlink">
    <w:name w:val="Hyperlink"/>
    <w:basedOn w:val="DefaultParagraphFont"/>
    <w:uiPriority w:val="99"/>
    <w:unhideWhenUsed/>
    <w:rsid w:val="00363C43"/>
    <w:rPr>
      <w:color w:val="0000FF"/>
      <w:u w:val="single"/>
    </w:rPr>
  </w:style>
  <w:style w:type="character" w:styleId="CommentReference">
    <w:name w:val="annotation reference"/>
    <w:basedOn w:val="DefaultParagraphFont"/>
    <w:uiPriority w:val="99"/>
    <w:semiHidden/>
    <w:unhideWhenUsed/>
    <w:rsid w:val="005959A8"/>
    <w:rPr>
      <w:sz w:val="16"/>
      <w:szCs w:val="16"/>
    </w:rPr>
  </w:style>
  <w:style w:type="paragraph" w:styleId="CommentText">
    <w:name w:val="annotation text"/>
    <w:basedOn w:val="Normal"/>
    <w:link w:val="CommentTextChar"/>
    <w:uiPriority w:val="99"/>
    <w:unhideWhenUsed/>
    <w:rsid w:val="005959A8"/>
    <w:pPr>
      <w:spacing w:line="240" w:lineRule="auto"/>
    </w:pPr>
    <w:rPr>
      <w:sz w:val="20"/>
      <w:szCs w:val="20"/>
    </w:rPr>
  </w:style>
  <w:style w:type="character" w:customStyle="1" w:styleId="CommentTextChar">
    <w:name w:val="Comment Text Char"/>
    <w:basedOn w:val="DefaultParagraphFont"/>
    <w:link w:val="CommentText"/>
    <w:uiPriority w:val="99"/>
    <w:rsid w:val="005959A8"/>
    <w:rPr>
      <w:noProof/>
      <w:sz w:val="20"/>
      <w:szCs w:val="20"/>
    </w:rPr>
  </w:style>
  <w:style w:type="paragraph" w:styleId="CommentSubject">
    <w:name w:val="annotation subject"/>
    <w:basedOn w:val="CommentText"/>
    <w:next w:val="CommentText"/>
    <w:link w:val="CommentSubjectChar"/>
    <w:uiPriority w:val="99"/>
    <w:semiHidden/>
    <w:unhideWhenUsed/>
    <w:rsid w:val="005959A8"/>
    <w:rPr>
      <w:b/>
      <w:bCs/>
    </w:rPr>
  </w:style>
  <w:style w:type="character" w:customStyle="1" w:styleId="CommentSubjectChar">
    <w:name w:val="Comment Subject Char"/>
    <w:basedOn w:val="CommentTextChar"/>
    <w:link w:val="CommentSubject"/>
    <w:uiPriority w:val="99"/>
    <w:semiHidden/>
    <w:rsid w:val="005959A8"/>
    <w:rPr>
      <w:b/>
      <w:bCs/>
      <w:noProof/>
      <w:sz w:val="20"/>
      <w:szCs w:val="20"/>
    </w:rPr>
  </w:style>
  <w:style w:type="paragraph" w:styleId="BalloonText">
    <w:name w:val="Balloon Text"/>
    <w:basedOn w:val="Normal"/>
    <w:link w:val="BalloonTextChar"/>
    <w:uiPriority w:val="99"/>
    <w:semiHidden/>
    <w:unhideWhenUsed/>
    <w:rsid w:val="00595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9A8"/>
    <w:rPr>
      <w:rFonts w:ascii="Tahoma" w:hAnsi="Tahoma" w:cs="Tahoma"/>
      <w:noProof/>
      <w:sz w:val="16"/>
      <w:szCs w:val="16"/>
    </w:rPr>
  </w:style>
  <w:style w:type="paragraph" w:styleId="ListParagraph">
    <w:name w:val="List Paragraph"/>
    <w:basedOn w:val="Normal"/>
    <w:uiPriority w:val="34"/>
    <w:qFormat/>
    <w:rsid w:val="00FA14BE"/>
    <w:pPr>
      <w:spacing w:after="0" w:line="240" w:lineRule="auto"/>
      <w:ind w:left="720"/>
    </w:pPr>
    <w:rPr>
      <w:rFonts w:ascii="Calibri" w:hAnsi="Calibri" w:cs="Times New Roman"/>
    </w:rPr>
  </w:style>
  <w:style w:type="character" w:customStyle="1" w:styleId="hps">
    <w:name w:val="hps"/>
    <w:basedOn w:val="DefaultParagraphFont"/>
    <w:uiPriority w:val="99"/>
    <w:rsid w:val="00C11E60"/>
    <w:rPr>
      <w:rFonts w:cs="Times New Roman"/>
    </w:rPr>
  </w:style>
  <w:style w:type="character" w:customStyle="1" w:styleId="longtext">
    <w:name w:val="long_text"/>
    <w:basedOn w:val="DefaultParagraphFont"/>
    <w:uiPriority w:val="99"/>
    <w:rsid w:val="00C11E60"/>
    <w:rPr>
      <w:rFonts w:cs="Times New Roman"/>
    </w:rPr>
  </w:style>
  <w:style w:type="character" w:styleId="Emphasis">
    <w:name w:val="Emphasis"/>
    <w:basedOn w:val="DefaultParagraphFont"/>
    <w:uiPriority w:val="20"/>
    <w:qFormat/>
    <w:rsid w:val="002D44B3"/>
    <w:rPr>
      <w:b/>
      <w:bCs/>
      <w:i w:val="0"/>
      <w:iCs w:val="0"/>
    </w:rPr>
  </w:style>
  <w:style w:type="character" w:customStyle="1" w:styleId="st1">
    <w:name w:val="st1"/>
    <w:basedOn w:val="DefaultParagraphFont"/>
    <w:rsid w:val="002D44B3"/>
  </w:style>
  <w:style w:type="paragraph" w:styleId="HTMLPreformatted">
    <w:name w:val="HTML Preformatted"/>
    <w:basedOn w:val="Normal"/>
    <w:link w:val="HTMLPreformattedChar"/>
    <w:uiPriority w:val="99"/>
    <w:unhideWhenUsed/>
    <w:rsid w:val="006F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6F4347"/>
    <w:rPr>
      <w:rFonts w:ascii="Courier New" w:hAnsi="Courier New" w:cs="Courier New"/>
      <w:sz w:val="20"/>
      <w:szCs w:val="20"/>
      <w:lang w:eastAsia="hr-HR"/>
    </w:rPr>
  </w:style>
  <w:style w:type="paragraph" w:styleId="FootnoteText">
    <w:name w:val="footnote text"/>
    <w:basedOn w:val="Normal"/>
    <w:link w:val="FootnoteTextChar"/>
    <w:uiPriority w:val="99"/>
    <w:rsid w:val="006F4347"/>
    <w:pPr>
      <w:suppressAutoHyphens/>
      <w:spacing w:after="0" w:line="240" w:lineRule="auto"/>
    </w:pPr>
    <w:rPr>
      <w:rFonts w:ascii="Calibri" w:eastAsia="Droid Sans Fallback" w:hAnsi="Calibri" w:cs="Calibri"/>
      <w:sz w:val="20"/>
      <w:szCs w:val="20"/>
      <w:lang w:val="x-none" w:eastAsia="zh-CN"/>
    </w:rPr>
  </w:style>
  <w:style w:type="character" w:customStyle="1" w:styleId="FootnoteTextChar">
    <w:name w:val="Footnote Text Char"/>
    <w:basedOn w:val="DefaultParagraphFont"/>
    <w:link w:val="FootnoteText"/>
    <w:uiPriority w:val="99"/>
    <w:rsid w:val="006F4347"/>
    <w:rPr>
      <w:rFonts w:ascii="Calibri" w:eastAsia="Droid Sans Fallback" w:hAnsi="Calibri" w:cs="Calibri"/>
      <w:sz w:val="20"/>
      <w:szCs w:val="20"/>
      <w:lang w:val="x-none" w:eastAsia="zh-CN"/>
    </w:rPr>
  </w:style>
  <w:style w:type="paragraph" w:styleId="NormalWeb">
    <w:name w:val="Normal (Web)"/>
    <w:basedOn w:val="Normal"/>
    <w:uiPriority w:val="99"/>
    <w:unhideWhenUsed/>
    <w:rsid w:val="006F4347"/>
    <w:pPr>
      <w:spacing w:after="0" w:line="240" w:lineRule="auto"/>
    </w:pPr>
    <w:rPr>
      <w:rFonts w:ascii="Times New Roman" w:hAnsi="Times New Roman" w:cs="Times New Roman"/>
      <w:sz w:val="24"/>
      <w:szCs w:val="24"/>
      <w:lang w:eastAsia="hr-HR"/>
    </w:rPr>
  </w:style>
  <w:style w:type="character" w:customStyle="1" w:styleId="apple-converted-space">
    <w:name w:val="apple-converted-space"/>
    <w:basedOn w:val="DefaultParagraphFont"/>
    <w:rsid w:val="00A6770F"/>
  </w:style>
  <w:style w:type="character" w:customStyle="1" w:styleId="gmail-msofootnotereference">
    <w:name w:val="gmail-msofootnotereference"/>
    <w:basedOn w:val="DefaultParagraphFont"/>
    <w:rsid w:val="003E6954"/>
  </w:style>
  <w:style w:type="character" w:styleId="Strong">
    <w:name w:val="Strong"/>
    <w:basedOn w:val="DefaultParagraphFont"/>
    <w:uiPriority w:val="22"/>
    <w:qFormat/>
    <w:rsid w:val="000C3A5E"/>
    <w:rPr>
      <w:b/>
      <w:bCs/>
    </w:rPr>
  </w:style>
  <w:style w:type="paragraph" w:customStyle="1" w:styleId="gmail-msocommenttext">
    <w:name w:val="gmail-msocommenttext"/>
    <w:basedOn w:val="Normal"/>
    <w:rsid w:val="00583906"/>
    <w:pPr>
      <w:spacing w:before="100" w:beforeAutospacing="1" w:after="100" w:afterAutospacing="1" w:line="240" w:lineRule="auto"/>
    </w:pPr>
    <w:rPr>
      <w:rFonts w:ascii="Times New Roman" w:hAnsi="Times New Roman" w:cs="Times New Roman"/>
      <w:sz w:val="24"/>
      <w:szCs w:val="24"/>
      <w:lang w:eastAsia="hr-HR"/>
    </w:rPr>
  </w:style>
  <w:style w:type="character" w:customStyle="1" w:styleId="Bez">
    <w:name w:val="Bez"/>
    <w:rsid w:val="008325C6"/>
  </w:style>
  <w:style w:type="character" w:styleId="FollowedHyperlink">
    <w:name w:val="FollowedHyperlink"/>
    <w:basedOn w:val="DefaultParagraphFont"/>
    <w:uiPriority w:val="99"/>
    <w:semiHidden/>
    <w:unhideWhenUsed/>
    <w:rsid w:val="00AA18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7447">
      <w:bodyDiv w:val="1"/>
      <w:marLeft w:val="0"/>
      <w:marRight w:val="0"/>
      <w:marTop w:val="0"/>
      <w:marBottom w:val="0"/>
      <w:divBdr>
        <w:top w:val="none" w:sz="0" w:space="0" w:color="auto"/>
        <w:left w:val="none" w:sz="0" w:space="0" w:color="auto"/>
        <w:bottom w:val="none" w:sz="0" w:space="0" w:color="auto"/>
        <w:right w:val="none" w:sz="0" w:space="0" w:color="auto"/>
      </w:divBdr>
    </w:div>
    <w:div w:id="18288688">
      <w:bodyDiv w:val="1"/>
      <w:marLeft w:val="0"/>
      <w:marRight w:val="0"/>
      <w:marTop w:val="0"/>
      <w:marBottom w:val="0"/>
      <w:divBdr>
        <w:top w:val="none" w:sz="0" w:space="0" w:color="auto"/>
        <w:left w:val="none" w:sz="0" w:space="0" w:color="auto"/>
        <w:bottom w:val="none" w:sz="0" w:space="0" w:color="auto"/>
        <w:right w:val="none" w:sz="0" w:space="0" w:color="auto"/>
      </w:divBdr>
    </w:div>
    <w:div w:id="56049107">
      <w:bodyDiv w:val="1"/>
      <w:marLeft w:val="0"/>
      <w:marRight w:val="0"/>
      <w:marTop w:val="0"/>
      <w:marBottom w:val="0"/>
      <w:divBdr>
        <w:top w:val="none" w:sz="0" w:space="0" w:color="auto"/>
        <w:left w:val="none" w:sz="0" w:space="0" w:color="auto"/>
        <w:bottom w:val="none" w:sz="0" w:space="0" w:color="auto"/>
        <w:right w:val="none" w:sz="0" w:space="0" w:color="auto"/>
      </w:divBdr>
    </w:div>
    <w:div w:id="65883734">
      <w:bodyDiv w:val="1"/>
      <w:marLeft w:val="0"/>
      <w:marRight w:val="0"/>
      <w:marTop w:val="0"/>
      <w:marBottom w:val="0"/>
      <w:divBdr>
        <w:top w:val="none" w:sz="0" w:space="0" w:color="auto"/>
        <w:left w:val="none" w:sz="0" w:space="0" w:color="auto"/>
        <w:bottom w:val="none" w:sz="0" w:space="0" w:color="auto"/>
        <w:right w:val="none" w:sz="0" w:space="0" w:color="auto"/>
      </w:divBdr>
    </w:div>
    <w:div w:id="74787169">
      <w:bodyDiv w:val="1"/>
      <w:marLeft w:val="0"/>
      <w:marRight w:val="0"/>
      <w:marTop w:val="0"/>
      <w:marBottom w:val="0"/>
      <w:divBdr>
        <w:top w:val="none" w:sz="0" w:space="0" w:color="auto"/>
        <w:left w:val="none" w:sz="0" w:space="0" w:color="auto"/>
        <w:bottom w:val="none" w:sz="0" w:space="0" w:color="auto"/>
        <w:right w:val="none" w:sz="0" w:space="0" w:color="auto"/>
      </w:divBdr>
    </w:div>
    <w:div w:id="101073465">
      <w:bodyDiv w:val="1"/>
      <w:marLeft w:val="0"/>
      <w:marRight w:val="0"/>
      <w:marTop w:val="0"/>
      <w:marBottom w:val="0"/>
      <w:divBdr>
        <w:top w:val="none" w:sz="0" w:space="0" w:color="auto"/>
        <w:left w:val="none" w:sz="0" w:space="0" w:color="auto"/>
        <w:bottom w:val="none" w:sz="0" w:space="0" w:color="auto"/>
        <w:right w:val="none" w:sz="0" w:space="0" w:color="auto"/>
      </w:divBdr>
    </w:div>
    <w:div w:id="126634117">
      <w:bodyDiv w:val="1"/>
      <w:marLeft w:val="0"/>
      <w:marRight w:val="0"/>
      <w:marTop w:val="0"/>
      <w:marBottom w:val="0"/>
      <w:divBdr>
        <w:top w:val="none" w:sz="0" w:space="0" w:color="auto"/>
        <w:left w:val="none" w:sz="0" w:space="0" w:color="auto"/>
        <w:bottom w:val="none" w:sz="0" w:space="0" w:color="auto"/>
        <w:right w:val="none" w:sz="0" w:space="0" w:color="auto"/>
      </w:divBdr>
    </w:div>
    <w:div w:id="183828769">
      <w:bodyDiv w:val="1"/>
      <w:marLeft w:val="0"/>
      <w:marRight w:val="0"/>
      <w:marTop w:val="0"/>
      <w:marBottom w:val="0"/>
      <w:divBdr>
        <w:top w:val="none" w:sz="0" w:space="0" w:color="auto"/>
        <w:left w:val="none" w:sz="0" w:space="0" w:color="auto"/>
        <w:bottom w:val="none" w:sz="0" w:space="0" w:color="auto"/>
        <w:right w:val="none" w:sz="0" w:space="0" w:color="auto"/>
      </w:divBdr>
    </w:div>
    <w:div w:id="255872593">
      <w:bodyDiv w:val="1"/>
      <w:marLeft w:val="0"/>
      <w:marRight w:val="0"/>
      <w:marTop w:val="0"/>
      <w:marBottom w:val="0"/>
      <w:divBdr>
        <w:top w:val="none" w:sz="0" w:space="0" w:color="auto"/>
        <w:left w:val="none" w:sz="0" w:space="0" w:color="auto"/>
        <w:bottom w:val="none" w:sz="0" w:space="0" w:color="auto"/>
        <w:right w:val="none" w:sz="0" w:space="0" w:color="auto"/>
      </w:divBdr>
    </w:div>
    <w:div w:id="260648590">
      <w:bodyDiv w:val="1"/>
      <w:marLeft w:val="0"/>
      <w:marRight w:val="0"/>
      <w:marTop w:val="0"/>
      <w:marBottom w:val="0"/>
      <w:divBdr>
        <w:top w:val="none" w:sz="0" w:space="0" w:color="auto"/>
        <w:left w:val="none" w:sz="0" w:space="0" w:color="auto"/>
        <w:bottom w:val="none" w:sz="0" w:space="0" w:color="auto"/>
        <w:right w:val="none" w:sz="0" w:space="0" w:color="auto"/>
      </w:divBdr>
    </w:div>
    <w:div w:id="314185686">
      <w:bodyDiv w:val="1"/>
      <w:marLeft w:val="0"/>
      <w:marRight w:val="0"/>
      <w:marTop w:val="0"/>
      <w:marBottom w:val="0"/>
      <w:divBdr>
        <w:top w:val="none" w:sz="0" w:space="0" w:color="auto"/>
        <w:left w:val="none" w:sz="0" w:space="0" w:color="auto"/>
        <w:bottom w:val="none" w:sz="0" w:space="0" w:color="auto"/>
        <w:right w:val="none" w:sz="0" w:space="0" w:color="auto"/>
      </w:divBdr>
    </w:div>
    <w:div w:id="324360392">
      <w:bodyDiv w:val="1"/>
      <w:marLeft w:val="0"/>
      <w:marRight w:val="0"/>
      <w:marTop w:val="0"/>
      <w:marBottom w:val="0"/>
      <w:divBdr>
        <w:top w:val="none" w:sz="0" w:space="0" w:color="auto"/>
        <w:left w:val="none" w:sz="0" w:space="0" w:color="auto"/>
        <w:bottom w:val="none" w:sz="0" w:space="0" w:color="auto"/>
        <w:right w:val="none" w:sz="0" w:space="0" w:color="auto"/>
      </w:divBdr>
    </w:div>
    <w:div w:id="327171545">
      <w:bodyDiv w:val="1"/>
      <w:marLeft w:val="0"/>
      <w:marRight w:val="0"/>
      <w:marTop w:val="0"/>
      <w:marBottom w:val="0"/>
      <w:divBdr>
        <w:top w:val="none" w:sz="0" w:space="0" w:color="auto"/>
        <w:left w:val="none" w:sz="0" w:space="0" w:color="auto"/>
        <w:bottom w:val="none" w:sz="0" w:space="0" w:color="auto"/>
        <w:right w:val="none" w:sz="0" w:space="0" w:color="auto"/>
      </w:divBdr>
    </w:div>
    <w:div w:id="332612365">
      <w:bodyDiv w:val="1"/>
      <w:marLeft w:val="0"/>
      <w:marRight w:val="0"/>
      <w:marTop w:val="0"/>
      <w:marBottom w:val="0"/>
      <w:divBdr>
        <w:top w:val="none" w:sz="0" w:space="0" w:color="auto"/>
        <w:left w:val="none" w:sz="0" w:space="0" w:color="auto"/>
        <w:bottom w:val="none" w:sz="0" w:space="0" w:color="auto"/>
        <w:right w:val="none" w:sz="0" w:space="0" w:color="auto"/>
      </w:divBdr>
    </w:div>
    <w:div w:id="354812144">
      <w:bodyDiv w:val="1"/>
      <w:marLeft w:val="0"/>
      <w:marRight w:val="0"/>
      <w:marTop w:val="0"/>
      <w:marBottom w:val="0"/>
      <w:divBdr>
        <w:top w:val="none" w:sz="0" w:space="0" w:color="auto"/>
        <w:left w:val="none" w:sz="0" w:space="0" w:color="auto"/>
        <w:bottom w:val="none" w:sz="0" w:space="0" w:color="auto"/>
        <w:right w:val="none" w:sz="0" w:space="0" w:color="auto"/>
      </w:divBdr>
    </w:div>
    <w:div w:id="375980126">
      <w:bodyDiv w:val="1"/>
      <w:marLeft w:val="0"/>
      <w:marRight w:val="0"/>
      <w:marTop w:val="0"/>
      <w:marBottom w:val="0"/>
      <w:divBdr>
        <w:top w:val="none" w:sz="0" w:space="0" w:color="auto"/>
        <w:left w:val="none" w:sz="0" w:space="0" w:color="auto"/>
        <w:bottom w:val="none" w:sz="0" w:space="0" w:color="auto"/>
        <w:right w:val="none" w:sz="0" w:space="0" w:color="auto"/>
      </w:divBdr>
    </w:div>
    <w:div w:id="406154276">
      <w:bodyDiv w:val="1"/>
      <w:marLeft w:val="0"/>
      <w:marRight w:val="0"/>
      <w:marTop w:val="0"/>
      <w:marBottom w:val="0"/>
      <w:divBdr>
        <w:top w:val="none" w:sz="0" w:space="0" w:color="auto"/>
        <w:left w:val="none" w:sz="0" w:space="0" w:color="auto"/>
        <w:bottom w:val="none" w:sz="0" w:space="0" w:color="auto"/>
        <w:right w:val="none" w:sz="0" w:space="0" w:color="auto"/>
      </w:divBdr>
    </w:div>
    <w:div w:id="416901561">
      <w:bodyDiv w:val="1"/>
      <w:marLeft w:val="0"/>
      <w:marRight w:val="0"/>
      <w:marTop w:val="0"/>
      <w:marBottom w:val="0"/>
      <w:divBdr>
        <w:top w:val="none" w:sz="0" w:space="0" w:color="auto"/>
        <w:left w:val="none" w:sz="0" w:space="0" w:color="auto"/>
        <w:bottom w:val="none" w:sz="0" w:space="0" w:color="auto"/>
        <w:right w:val="none" w:sz="0" w:space="0" w:color="auto"/>
      </w:divBdr>
    </w:div>
    <w:div w:id="497573750">
      <w:bodyDiv w:val="1"/>
      <w:marLeft w:val="0"/>
      <w:marRight w:val="0"/>
      <w:marTop w:val="0"/>
      <w:marBottom w:val="0"/>
      <w:divBdr>
        <w:top w:val="none" w:sz="0" w:space="0" w:color="auto"/>
        <w:left w:val="none" w:sz="0" w:space="0" w:color="auto"/>
        <w:bottom w:val="none" w:sz="0" w:space="0" w:color="auto"/>
        <w:right w:val="none" w:sz="0" w:space="0" w:color="auto"/>
      </w:divBdr>
    </w:div>
    <w:div w:id="515190564">
      <w:bodyDiv w:val="1"/>
      <w:marLeft w:val="0"/>
      <w:marRight w:val="0"/>
      <w:marTop w:val="0"/>
      <w:marBottom w:val="0"/>
      <w:divBdr>
        <w:top w:val="none" w:sz="0" w:space="0" w:color="auto"/>
        <w:left w:val="none" w:sz="0" w:space="0" w:color="auto"/>
        <w:bottom w:val="none" w:sz="0" w:space="0" w:color="auto"/>
        <w:right w:val="none" w:sz="0" w:space="0" w:color="auto"/>
      </w:divBdr>
    </w:div>
    <w:div w:id="547689427">
      <w:bodyDiv w:val="1"/>
      <w:marLeft w:val="0"/>
      <w:marRight w:val="0"/>
      <w:marTop w:val="0"/>
      <w:marBottom w:val="0"/>
      <w:divBdr>
        <w:top w:val="none" w:sz="0" w:space="0" w:color="auto"/>
        <w:left w:val="none" w:sz="0" w:space="0" w:color="auto"/>
        <w:bottom w:val="none" w:sz="0" w:space="0" w:color="auto"/>
        <w:right w:val="none" w:sz="0" w:space="0" w:color="auto"/>
      </w:divBdr>
    </w:div>
    <w:div w:id="666251677">
      <w:bodyDiv w:val="1"/>
      <w:marLeft w:val="0"/>
      <w:marRight w:val="0"/>
      <w:marTop w:val="0"/>
      <w:marBottom w:val="0"/>
      <w:divBdr>
        <w:top w:val="none" w:sz="0" w:space="0" w:color="auto"/>
        <w:left w:val="none" w:sz="0" w:space="0" w:color="auto"/>
        <w:bottom w:val="none" w:sz="0" w:space="0" w:color="auto"/>
        <w:right w:val="none" w:sz="0" w:space="0" w:color="auto"/>
      </w:divBdr>
    </w:div>
    <w:div w:id="694693569">
      <w:bodyDiv w:val="1"/>
      <w:marLeft w:val="0"/>
      <w:marRight w:val="0"/>
      <w:marTop w:val="0"/>
      <w:marBottom w:val="0"/>
      <w:divBdr>
        <w:top w:val="none" w:sz="0" w:space="0" w:color="auto"/>
        <w:left w:val="none" w:sz="0" w:space="0" w:color="auto"/>
        <w:bottom w:val="none" w:sz="0" w:space="0" w:color="auto"/>
        <w:right w:val="none" w:sz="0" w:space="0" w:color="auto"/>
      </w:divBdr>
    </w:div>
    <w:div w:id="702243136">
      <w:bodyDiv w:val="1"/>
      <w:marLeft w:val="0"/>
      <w:marRight w:val="0"/>
      <w:marTop w:val="0"/>
      <w:marBottom w:val="0"/>
      <w:divBdr>
        <w:top w:val="none" w:sz="0" w:space="0" w:color="auto"/>
        <w:left w:val="none" w:sz="0" w:space="0" w:color="auto"/>
        <w:bottom w:val="none" w:sz="0" w:space="0" w:color="auto"/>
        <w:right w:val="none" w:sz="0" w:space="0" w:color="auto"/>
      </w:divBdr>
    </w:div>
    <w:div w:id="772096493">
      <w:bodyDiv w:val="1"/>
      <w:marLeft w:val="0"/>
      <w:marRight w:val="0"/>
      <w:marTop w:val="0"/>
      <w:marBottom w:val="0"/>
      <w:divBdr>
        <w:top w:val="none" w:sz="0" w:space="0" w:color="auto"/>
        <w:left w:val="none" w:sz="0" w:space="0" w:color="auto"/>
        <w:bottom w:val="none" w:sz="0" w:space="0" w:color="auto"/>
        <w:right w:val="none" w:sz="0" w:space="0" w:color="auto"/>
      </w:divBdr>
    </w:div>
    <w:div w:id="796293236">
      <w:bodyDiv w:val="1"/>
      <w:marLeft w:val="0"/>
      <w:marRight w:val="0"/>
      <w:marTop w:val="0"/>
      <w:marBottom w:val="0"/>
      <w:divBdr>
        <w:top w:val="none" w:sz="0" w:space="0" w:color="auto"/>
        <w:left w:val="none" w:sz="0" w:space="0" w:color="auto"/>
        <w:bottom w:val="none" w:sz="0" w:space="0" w:color="auto"/>
        <w:right w:val="none" w:sz="0" w:space="0" w:color="auto"/>
      </w:divBdr>
    </w:div>
    <w:div w:id="804009303">
      <w:bodyDiv w:val="1"/>
      <w:marLeft w:val="0"/>
      <w:marRight w:val="0"/>
      <w:marTop w:val="0"/>
      <w:marBottom w:val="0"/>
      <w:divBdr>
        <w:top w:val="none" w:sz="0" w:space="0" w:color="auto"/>
        <w:left w:val="none" w:sz="0" w:space="0" w:color="auto"/>
        <w:bottom w:val="none" w:sz="0" w:space="0" w:color="auto"/>
        <w:right w:val="none" w:sz="0" w:space="0" w:color="auto"/>
      </w:divBdr>
    </w:div>
    <w:div w:id="816802699">
      <w:bodyDiv w:val="1"/>
      <w:marLeft w:val="0"/>
      <w:marRight w:val="0"/>
      <w:marTop w:val="0"/>
      <w:marBottom w:val="0"/>
      <w:divBdr>
        <w:top w:val="none" w:sz="0" w:space="0" w:color="auto"/>
        <w:left w:val="none" w:sz="0" w:space="0" w:color="auto"/>
        <w:bottom w:val="none" w:sz="0" w:space="0" w:color="auto"/>
        <w:right w:val="none" w:sz="0" w:space="0" w:color="auto"/>
      </w:divBdr>
    </w:div>
    <w:div w:id="859005484">
      <w:bodyDiv w:val="1"/>
      <w:marLeft w:val="0"/>
      <w:marRight w:val="0"/>
      <w:marTop w:val="0"/>
      <w:marBottom w:val="0"/>
      <w:divBdr>
        <w:top w:val="none" w:sz="0" w:space="0" w:color="auto"/>
        <w:left w:val="none" w:sz="0" w:space="0" w:color="auto"/>
        <w:bottom w:val="none" w:sz="0" w:space="0" w:color="auto"/>
        <w:right w:val="none" w:sz="0" w:space="0" w:color="auto"/>
      </w:divBdr>
    </w:div>
    <w:div w:id="861089911">
      <w:bodyDiv w:val="1"/>
      <w:marLeft w:val="0"/>
      <w:marRight w:val="0"/>
      <w:marTop w:val="0"/>
      <w:marBottom w:val="0"/>
      <w:divBdr>
        <w:top w:val="none" w:sz="0" w:space="0" w:color="auto"/>
        <w:left w:val="none" w:sz="0" w:space="0" w:color="auto"/>
        <w:bottom w:val="none" w:sz="0" w:space="0" w:color="auto"/>
        <w:right w:val="none" w:sz="0" w:space="0" w:color="auto"/>
      </w:divBdr>
    </w:div>
    <w:div w:id="869801360">
      <w:bodyDiv w:val="1"/>
      <w:marLeft w:val="0"/>
      <w:marRight w:val="0"/>
      <w:marTop w:val="0"/>
      <w:marBottom w:val="0"/>
      <w:divBdr>
        <w:top w:val="none" w:sz="0" w:space="0" w:color="auto"/>
        <w:left w:val="none" w:sz="0" w:space="0" w:color="auto"/>
        <w:bottom w:val="none" w:sz="0" w:space="0" w:color="auto"/>
        <w:right w:val="none" w:sz="0" w:space="0" w:color="auto"/>
      </w:divBdr>
    </w:div>
    <w:div w:id="908854344">
      <w:bodyDiv w:val="1"/>
      <w:marLeft w:val="0"/>
      <w:marRight w:val="0"/>
      <w:marTop w:val="0"/>
      <w:marBottom w:val="0"/>
      <w:divBdr>
        <w:top w:val="none" w:sz="0" w:space="0" w:color="auto"/>
        <w:left w:val="none" w:sz="0" w:space="0" w:color="auto"/>
        <w:bottom w:val="none" w:sz="0" w:space="0" w:color="auto"/>
        <w:right w:val="none" w:sz="0" w:space="0" w:color="auto"/>
      </w:divBdr>
      <w:divsChild>
        <w:div w:id="1831092103">
          <w:marLeft w:val="0"/>
          <w:marRight w:val="0"/>
          <w:marTop w:val="0"/>
          <w:marBottom w:val="0"/>
          <w:divBdr>
            <w:top w:val="none" w:sz="0" w:space="0" w:color="auto"/>
            <w:left w:val="none" w:sz="0" w:space="0" w:color="auto"/>
            <w:bottom w:val="none" w:sz="0" w:space="0" w:color="auto"/>
            <w:right w:val="none" w:sz="0" w:space="0" w:color="auto"/>
          </w:divBdr>
          <w:divsChild>
            <w:div w:id="2099786648">
              <w:marLeft w:val="0"/>
              <w:marRight w:val="0"/>
              <w:marTop w:val="0"/>
              <w:marBottom w:val="0"/>
              <w:divBdr>
                <w:top w:val="none" w:sz="0" w:space="0" w:color="auto"/>
                <w:left w:val="none" w:sz="0" w:space="0" w:color="auto"/>
                <w:bottom w:val="none" w:sz="0" w:space="0" w:color="auto"/>
                <w:right w:val="none" w:sz="0" w:space="0" w:color="auto"/>
              </w:divBdr>
              <w:divsChild>
                <w:div w:id="113788085">
                  <w:marLeft w:val="0"/>
                  <w:marRight w:val="0"/>
                  <w:marTop w:val="0"/>
                  <w:marBottom w:val="0"/>
                  <w:divBdr>
                    <w:top w:val="none" w:sz="0" w:space="0" w:color="auto"/>
                    <w:left w:val="none" w:sz="0" w:space="0" w:color="auto"/>
                    <w:bottom w:val="none" w:sz="0" w:space="0" w:color="auto"/>
                    <w:right w:val="none" w:sz="0" w:space="0" w:color="auto"/>
                  </w:divBdr>
                  <w:divsChild>
                    <w:div w:id="1613977670">
                      <w:marLeft w:val="0"/>
                      <w:marRight w:val="0"/>
                      <w:marTop w:val="0"/>
                      <w:marBottom w:val="0"/>
                      <w:divBdr>
                        <w:top w:val="none" w:sz="0" w:space="0" w:color="auto"/>
                        <w:left w:val="none" w:sz="0" w:space="0" w:color="auto"/>
                        <w:bottom w:val="none" w:sz="0" w:space="0" w:color="auto"/>
                        <w:right w:val="none" w:sz="0" w:space="0" w:color="auto"/>
                      </w:divBdr>
                      <w:divsChild>
                        <w:div w:id="20862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346218">
      <w:bodyDiv w:val="1"/>
      <w:marLeft w:val="0"/>
      <w:marRight w:val="0"/>
      <w:marTop w:val="0"/>
      <w:marBottom w:val="0"/>
      <w:divBdr>
        <w:top w:val="none" w:sz="0" w:space="0" w:color="auto"/>
        <w:left w:val="none" w:sz="0" w:space="0" w:color="auto"/>
        <w:bottom w:val="none" w:sz="0" w:space="0" w:color="auto"/>
        <w:right w:val="none" w:sz="0" w:space="0" w:color="auto"/>
      </w:divBdr>
    </w:div>
    <w:div w:id="971909428">
      <w:bodyDiv w:val="1"/>
      <w:marLeft w:val="0"/>
      <w:marRight w:val="0"/>
      <w:marTop w:val="0"/>
      <w:marBottom w:val="0"/>
      <w:divBdr>
        <w:top w:val="none" w:sz="0" w:space="0" w:color="auto"/>
        <w:left w:val="none" w:sz="0" w:space="0" w:color="auto"/>
        <w:bottom w:val="none" w:sz="0" w:space="0" w:color="auto"/>
        <w:right w:val="none" w:sz="0" w:space="0" w:color="auto"/>
      </w:divBdr>
    </w:div>
    <w:div w:id="973871194">
      <w:bodyDiv w:val="1"/>
      <w:marLeft w:val="0"/>
      <w:marRight w:val="0"/>
      <w:marTop w:val="0"/>
      <w:marBottom w:val="0"/>
      <w:divBdr>
        <w:top w:val="none" w:sz="0" w:space="0" w:color="auto"/>
        <w:left w:val="none" w:sz="0" w:space="0" w:color="auto"/>
        <w:bottom w:val="none" w:sz="0" w:space="0" w:color="auto"/>
        <w:right w:val="none" w:sz="0" w:space="0" w:color="auto"/>
      </w:divBdr>
    </w:div>
    <w:div w:id="1052727562">
      <w:bodyDiv w:val="1"/>
      <w:marLeft w:val="0"/>
      <w:marRight w:val="0"/>
      <w:marTop w:val="0"/>
      <w:marBottom w:val="0"/>
      <w:divBdr>
        <w:top w:val="none" w:sz="0" w:space="0" w:color="auto"/>
        <w:left w:val="none" w:sz="0" w:space="0" w:color="auto"/>
        <w:bottom w:val="none" w:sz="0" w:space="0" w:color="auto"/>
        <w:right w:val="none" w:sz="0" w:space="0" w:color="auto"/>
      </w:divBdr>
    </w:div>
    <w:div w:id="1080449254">
      <w:bodyDiv w:val="1"/>
      <w:marLeft w:val="0"/>
      <w:marRight w:val="0"/>
      <w:marTop w:val="0"/>
      <w:marBottom w:val="0"/>
      <w:divBdr>
        <w:top w:val="none" w:sz="0" w:space="0" w:color="auto"/>
        <w:left w:val="none" w:sz="0" w:space="0" w:color="auto"/>
        <w:bottom w:val="none" w:sz="0" w:space="0" w:color="auto"/>
        <w:right w:val="none" w:sz="0" w:space="0" w:color="auto"/>
      </w:divBdr>
    </w:div>
    <w:div w:id="1090277500">
      <w:bodyDiv w:val="1"/>
      <w:marLeft w:val="0"/>
      <w:marRight w:val="0"/>
      <w:marTop w:val="0"/>
      <w:marBottom w:val="0"/>
      <w:divBdr>
        <w:top w:val="none" w:sz="0" w:space="0" w:color="auto"/>
        <w:left w:val="none" w:sz="0" w:space="0" w:color="auto"/>
        <w:bottom w:val="none" w:sz="0" w:space="0" w:color="auto"/>
        <w:right w:val="none" w:sz="0" w:space="0" w:color="auto"/>
      </w:divBdr>
    </w:div>
    <w:div w:id="1190148605">
      <w:bodyDiv w:val="1"/>
      <w:marLeft w:val="0"/>
      <w:marRight w:val="0"/>
      <w:marTop w:val="0"/>
      <w:marBottom w:val="0"/>
      <w:divBdr>
        <w:top w:val="none" w:sz="0" w:space="0" w:color="auto"/>
        <w:left w:val="none" w:sz="0" w:space="0" w:color="auto"/>
        <w:bottom w:val="none" w:sz="0" w:space="0" w:color="auto"/>
        <w:right w:val="none" w:sz="0" w:space="0" w:color="auto"/>
      </w:divBdr>
    </w:div>
    <w:div w:id="1216821531">
      <w:bodyDiv w:val="1"/>
      <w:marLeft w:val="0"/>
      <w:marRight w:val="0"/>
      <w:marTop w:val="0"/>
      <w:marBottom w:val="0"/>
      <w:divBdr>
        <w:top w:val="none" w:sz="0" w:space="0" w:color="auto"/>
        <w:left w:val="none" w:sz="0" w:space="0" w:color="auto"/>
        <w:bottom w:val="none" w:sz="0" w:space="0" w:color="auto"/>
        <w:right w:val="none" w:sz="0" w:space="0" w:color="auto"/>
      </w:divBdr>
    </w:div>
    <w:div w:id="1244146050">
      <w:bodyDiv w:val="1"/>
      <w:marLeft w:val="0"/>
      <w:marRight w:val="0"/>
      <w:marTop w:val="0"/>
      <w:marBottom w:val="0"/>
      <w:divBdr>
        <w:top w:val="none" w:sz="0" w:space="0" w:color="auto"/>
        <w:left w:val="none" w:sz="0" w:space="0" w:color="auto"/>
        <w:bottom w:val="none" w:sz="0" w:space="0" w:color="auto"/>
        <w:right w:val="none" w:sz="0" w:space="0" w:color="auto"/>
      </w:divBdr>
    </w:div>
    <w:div w:id="1269390249">
      <w:bodyDiv w:val="1"/>
      <w:marLeft w:val="0"/>
      <w:marRight w:val="0"/>
      <w:marTop w:val="0"/>
      <w:marBottom w:val="0"/>
      <w:divBdr>
        <w:top w:val="none" w:sz="0" w:space="0" w:color="auto"/>
        <w:left w:val="none" w:sz="0" w:space="0" w:color="auto"/>
        <w:bottom w:val="none" w:sz="0" w:space="0" w:color="auto"/>
        <w:right w:val="none" w:sz="0" w:space="0" w:color="auto"/>
      </w:divBdr>
    </w:div>
    <w:div w:id="1307469845">
      <w:bodyDiv w:val="1"/>
      <w:marLeft w:val="0"/>
      <w:marRight w:val="0"/>
      <w:marTop w:val="0"/>
      <w:marBottom w:val="0"/>
      <w:divBdr>
        <w:top w:val="none" w:sz="0" w:space="0" w:color="auto"/>
        <w:left w:val="none" w:sz="0" w:space="0" w:color="auto"/>
        <w:bottom w:val="none" w:sz="0" w:space="0" w:color="auto"/>
        <w:right w:val="none" w:sz="0" w:space="0" w:color="auto"/>
      </w:divBdr>
    </w:div>
    <w:div w:id="1328900373">
      <w:bodyDiv w:val="1"/>
      <w:marLeft w:val="0"/>
      <w:marRight w:val="0"/>
      <w:marTop w:val="0"/>
      <w:marBottom w:val="0"/>
      <w:divBdr>
        <w:top w:val="none" w:sz="0" w:space="0" w:color="auto"/>
        <w:left w:val="none" w:sz="0" w:space="0" w:color="auto"/>
        <w:bottom w:val="none" w:sz="0" w:space="0" w:color="auto"/>
        <w:right w:val="none" w:sz="0" w:space="0" w:color="auto"/>
      </w:divBdr>
    </w:div>
    <w:div w:id="1376349274">
      <w:bodyDiv w:val="1"/>
      <w:marLeft w:val="0"/>
      <w:marRight w:val="0"/>
      <w:marTop w:val="0"/>
      <w:marBottom w:val="0"/>
      <w:divBdr>
        <w:top w:val="none" w:sz="0" w:space="0" w:color="auto"/>
        <w:left w:val="none" w:sz="0" w:space="0" w:color="auto"/>
        <w:bottom w:val="none" w:sz="0" w:space="0" w:color="auto"/>
        <w:right w:val="none" w:sz="0" w:space="0" w:color="auto"/>
      </w:divBdr>
    </w:div>
    <w:div w:id="1425609053">
      <w:bodyDiv w:val="1"/>
      <w:marLeft w:val="0"/>
      <w:marRight w:val="0"/>
      <w:marTop w:val="0"/>
      <w:marBottom w:val="0"/>
      <w:divBdr>
        <w:top w:val="none" w:sz="0" w:space="0" w:color="auto"/>
        <w:left w:val="none" w:sz="0" w:space="0" w:color="auto"/>
        <w:bottom w:val="none" w:sz="0" w:space="0" w:color="auto"/>
        <w:right w:val="none" w:sz="0" w:space="0" w:color="auto"/>
      </w:divBdr>
    </w:div>
    <w:div w:id="1504011953">
      <w:bodyDiv w:val="1"/>
      <w:marLeft w:val="0"/>
      <w:marRight w:val="0"/>
      <w:marTop w:val="0"/>
      <w:marBottom w:val="0"/>
      <w:divBdr>
        <w:top w:val="none" w:sz="0" w:space="0" w:color="auto"/>
        <w:left w:val="none" w:sz="0" w:space="0" w:color="auto"/>
        <w:bottom w:val="none" w:sz="0" w:space="0" w:color="auto"/>
        <w:right w:val="none" w:sz="0" w:space="0" w:color="auto"/>
      </w:divBdr>
    </w:div>
    <w:div w:id="1527132866">
      <w:bodyDiv w:val="1"/>
      <w:marLeft w:val="0"/>
      <w:marRight w:val="0"/>
      <w:marTop w:val="0"/>
      <w:marBottom w:val="0"/>
      <w:divBdr>
        <w:top w:val="none" w:sz="0" w:space="0" w:color="auto"/>
        <w:left w:val="none" w:sz="0" w:space="0" w:color="auto"/>
        <w:bottom w:val="none" w:sz="0" w:space="0" w:color="auto"/>
        <w:right w:val="none" w:sz="0" w:space="0" w:color="auto"/>
      </w:divBdr>
    </w:div>
    <w:div w:id="1563636974">
      <w:bodyDiv w:val="1"/>
      <w:marLeft w:val="0"/>
      <w:marRight w:val="0"/>
      <w:marTop w:val="0"/>
      <w:marBottom w:val="0"/>
      <w:divBdr>
        <w:top w:val="none" w:sz="0" w:space="0" w:color="auto"/>
        <w:left w:val="none" w:sz="0" w:space="0" w:color="auto"/>
        <w:bottom w:val="none" w:sz="0" w:space="0" w:color="auto"/>
        <w:right w:val="none" w:sz="0" w:space="0" w:color="auto"/>
      </w:divBdr>
    </w:div>
    <w:div w:id="1566449175">
      <w:bodyDiv w:val="1"/>
      <w:marLeft w:val="0"/>
      <w:marRight w:val="0"/>
      <w:marTop w:val="0"/>
      <w:marBottom w:val="0"/>
      <w:divBdr>
        <w:top w:val="none" w:sz="0" w:space="0" w:color="auto"/>
        <w:left w:val="none" w:sz="0" w:space="0" w:color="auto"/>
        <w:bottom w:val="none" w:sz="0" w:space="0" w:color="auto"/>
        <w:right w:val="none" w:sz="0" w:space="0" w:color="auto"/>
      </w:divBdr>
    </w:div>
    <w:div w:id="1585526031">
      <w:bodyDiv w:val="1"/>
      <w:marLeft w:val="0"/>
      <w:marRight w:val="0"/>
      <w:marTop w:val="0"/>
      <w:marBottom w:val="0"/>
      <w:divBdr>
        <w:top w:val="none" w:sz="0" w:space="0" w:color="auto"/>
        <w:left w:val="none" w:sz="0" w:space="0" w:color="auto"/>
        <w:bottom w:val="none" w:sz="0" w:space="0" w:color="auto"/>
        <w:right w:val="none" w:sz="0" w:space="0" w:color="auto"/>
      </w:divBdr>
    </w:div>
    <w:div w:id="1616717848">
      <w:bodyDiv w:val="1"/>
      <w:marLeft w:val="0"/>
      <w:marRight w:val="0"/>
      <w:marTop w:val="0"/>
      <w:marBottom w:val="0"/>
      <w:divBdr>
        <w:top w:val="none" w:sz="0" w:space="0" w:color="auto"/>
        <w:left w:val="none" w:sz="0" w:space="0" w:color="auto"/>
        <w:bottom w:val="none" w:sz="0" w:space="0" w:color="auto"/>
        <w:right w:val="none" w:sz="0" w:space="0" w:color="auto"/>
      </w:divBdr>
    </w:div>
    <w:div w:id="1634293417">
      <w:bodyDiv w:val="1"/>
      <w:marLeft w:val="0"/>
      <w:marRight w:val="0"/>
      <w:marTop w:val="0"/>
      <w:marBottom w:val="0"/>
      <w:divBdr>
        <w:top w:val="none" w:sz="0" w:space="0" w:color="auto"/>
        <w:left w:val="none" w:sz="0" w:space="0" w:color="auto"/>
        <w:bottom w:val="none" w:sz="0" w:space="0" w:color="auto"/>
        <w:right w:val="none" w:sz="0" w:space="0" w:color="auto"/>
      </w:divBdr>
    </w:div>
    <w:div w:id="1656370132">
      <w:bodyDiv w:val="1"/>
      <w:marLeft w:val="0"/>
      <w:marRight w:val="0"/>
      <w:marTop w:val="0"/>
      <w:marBottom w:val="0"/>
      <w:divBdr>
        <w:top w:val="none" w:sz="0" w:space="0" w:color="auto"/>
        <w:left w:val="none" w:sz="0" w:space="0" w:color="auto"/>
        <w:bottom w:val="none" w:sz="0" w:space="0" w:color="auto"/>
        <w:right w:val="none" w:sz="0" w:space="0" w:color="auto"/>
      </w:divBdr>
      <w:divsChild>
        <w:div w:id="1030689229">
          <w:marLeft w:val="0"/>
          <w:marRight w:val="0"/>
          <w:marTop w:val="0"/>
          <w:marBottom w:val="0"/>
          <w:divBdr>
            <w:top w:val="none" w:sz="0" w:space="0" w:color="auto"/>
            <w:left w:val="none" w:sz="0" w:space="0" w:color="auto"/>
            <w:bottom w:val="none" w:sz="0" w:space="0" w:color="auto"/>
            <w:right w:val="none" w:sz="0" w:space="0" w:color="auto"/>
          </w:divBdr>
          <w:divsChild>
            <w:div w:id="93284901">
              <w:marLeft w:val="0"/>
              <w:marRight w:val="0"/>
              <w:marTop w:val="0"/>
              <w:marBottom w:val="0"/>
              <w:divBdr>
                <w:top w:val="none" w:sz="0" w:space="0" w:color="auto"/>
                <w:left w:val="none" w:sz="0" w:space="0" w:color="auto"/>
                <w:bottom w:val="none" w:sz="0" w:space="0" w:color="auto"/>
                <w:right w:val="none" w:sz="0" w:space="0" w:color="auto"/>
              </w:divBdr>
              <w:divsChild>
                <w:div w:id="132018748">
                  <w:marLeft w:val="0"/>
                  <w:marRight w:val="0"/>
                  <w:marTop w:val="0"/>
                  <w:marBottom w:val="0"/>
                  <w:divBdr>
                    <w:top w:val="none" w:sz="0" w:space="0" w:color="auto"/>
                    <w:left w:val="none" w:sz="0" w:space="0" w:color="auto"/>
                    <w:bottom w:val="none" w:sz="0" w:space="0" w:color="auto"/>
                    <w:right w:val="none" w:sz="0" w:space="0" w:color="auto"/>
                  </w:divBdr>
                  <w:divsChild>
                    <w:div w:id="224268493">
                      <w:marLeft w:val="0"/>
                      <w:marRight w:val="0"/>
                      <w:marTop w:val="0"/>
                      <w:marBottom w:val="0"/>
                      <w:divBdr>
                        <w:top w:val="none" w:sz="0" w:space="0" w:color="auto"/>
                        <w:left w:val="none" w:sz="0" w:space="0" w:color="auto"/>
                        <w:bottom w:val="none" w:sz="0" w:space="0" w:color="auto"/>
                        <w:right w:val="none" w:sz="0" w:space="0" w:color="auto"/>
                      </w:divBdr>
                      <w:divsChild>
                        <w:div w:id="1599017772">
                          <w:marLeft w:val="0"/>
                          <w:marRight w:val="0"/>
                          <w:marTop w:val="0"/>
                          <w:marBottom w:val="0"/>
                          <w:divBdr>
                            <w:top w:val="none" w:sz="0" w:space="0" w:color="auto"/>
                            <w:left w:val="none" w:sz="0" w:space="0" w:color="auto"/>
                            <w:bottom w:val="none" w:sz="0" w:space="0" w:color="auto"/>
                            <w:right w:val="none" w:sz="0" w:space="0" w:color="auto"/>
                          </w:divBdr>
                          <w:divsChild>
                            <w:div w:id="1155533554">
                              <w:marLeft w:val="0"/>
                              <w:marRight w:val="0"/>
                              <w:marTop w:val="0"/>
                              <w:marBottom w:val="0"/>
                              <w:divBdr>
                                <w:top w:val="none" w:sz="0" w:space="0" w:color="auto"/>
                                <w:left w:val="none" w:sz="0" w:space="0" w:color="auto"/>
                                <w:bottom w:val="none" w:sz="0" w:space="0" w:color="auto"/>
                                <w:right w:val="none" w:sz="0" w:space="0" w:color="auto"/>
                              </w:divBdr>
                              <w:divsChild>
                                <w:div w:id="1344818907">
                                  <w:marLeft w:val="0"/>
                                  <w:marRight w:val="0"/>
                                  <w:marTop w:val="0"/>
                                  <w:marBottom w:val="0"/>
                                  <w:divBdr>
                                    <w:top w:val="none" w:sz="0" w:space="0" w:color="auto"/>
                                    <w:left w:val="none" w:sz="0" w:space="0" w:color="auto"/>
                                    <w:bottom w:val="none" w:sz="0" w:space="0" w:color="auto"/>
                                    <w:right w:val="none" w:sz="0" w:space="0" w:color="auto"/>
                                  </w:divBdr>
                                  <w:divsChild>
                                    <w:div w:id="685834482">
                                      <w:marLeft w:val="0"/>
                                      <w:marRight w:val="0"/>
                                      <w:marTop w:val="0"/>
                                      <w:marBottom w:val="0"/>
                                      <w:divBdr>
                                        <w:top w:val="none" w:sz="0" w:space="0" w:color="auto"/>
                                        <w:left w:val="none" w:sz="0" w:space="0" w:color="auto"/>
                                        <w:bottom w:val="none" w:sz="0" w:space="0" w:color="auto"/>
                                        <w:right w:val="none" w:sz="0" w:space="0" w:color="auto"/>
                                      </w:divBdr>
                                      <w:divsChild>
                                        <w:div w:id="411239035">
                                          <w:marLeft w:val="0"/>
                                          <w:marRight w:val="0"/>
                                          <w:marTop w:val="0"/>
                                          <w:marBottom w:val="0"/>
                                          <w:divBdr>
                                            <w:top w:val="none" w:sz="0" w:space="0" w:color="auto"/>
                                            <w:left w:val="none" w:sz="0" w:space="0" w:color="auto"/>
                                            <w:bottom w:val="none" w:sz="0" w:space="0" w:color="auto"/>
                                            <w:right w:val="none" w:sz="0" w:space="0" w:color="auto"/>
                                          </w:divBdr>
                                          <w:divsChild>
                                            <w:div w:id="765541811">
                                              <w:marLeft w:val="0"/>
                                              <w:marRight w:val="0"/>
                                              <w:marTop w:val="0"/>
                                              <w:marBottom w:val="0"/>
                                              <w:divBdr>
                                                <w:top w:val="none" w:sz="0" w:space="0" w:color="auto"/>
                                                <w:left w:val="none" w:sz="0" w:space="0" w:color="auto"/>
                                                <w:bottom w:val="none" w:sz="0" w:space="0" w:color="auto"/>
                                                <w:right w:val="none" w:sz="0" w:space="0" w:color="auto"/>
                                              </w:divBdr>
                                              <w:divsChild>
                                                <w:div w:id="1149833048">
                                                  <w:marLeft w:val="0"/>
                                                  <w:marRight w:val="0"/>
                                                  <w:marTop w:val="0"/>
                                                  <w:marBottom w:val="0"/>
                                                  <w:divBdr>
                                                    <w:top w:val="none" w:sz="0" w:space="0" w:color="auto"/>
                                                    <w:left w:val="none" w:sz="0" w:space="0" w:color="auto"/>
                                                    <w:bottom w:val="none" w:sz="0" w:space="0" w:color="auto"/>
                                                    <w:right w:val="none" w:sz="0" w:space="0" w:color="auto"/>
                                                  </w:divBdr>
                                                  <w:divsChild>
                                                    <w:div w:id="491721774">
                                                      <w:marLeft w:val="0"/>
                                                      <w:marRight w:val="0"/>
                                                      <w:marTop w:val="0"/>
                                                      <w:marBottom w:val="0"/>
                                                      <w:divBdr>
                                                        <w:top w:val="none" w:sz="0" w:space="0" w:color="auto"/>
                                                        <w:left w:val="none" w:sz="0" w:space="0" w:color="auto"/>
                                                        <w:bottom w:val="none" w:sz="0" w:space="0" w:color="auto"/>
                                                        <w:right w:val="none" w:sz="0" w:space="0" w:color="auto"/>
                                                      </w:divBdr>
                                                      <w:divsChild>
                                                        <w:div w:id="1690181098">
                                                          <w:marLeft w:val="0"/>
                                                          <w:marRight w:val="0"/>
                                                          <w:marTop w:val="0"/>
                                                          <w:marBottom w:val="0"/>
                                                          <w:divBdr>
                                                            <w:top w:val="none" w:sz="0" w:space="0" w:color="auto"/>
                                                            <w:left w:val="none" w:sz="0" w:space="0" w:color="auto"/>
                                                            <w:bottom w:val="none" w:sz="0" w:space="0" w:color="auto"/>
                                                            <w:right w:val="none" w:sz="0" w:space="0" w:color="auto"/>
                                                          </w:divBdr>
                                                          <w:divsChild>
                                                            <w:div w:id="1290673123">
                                                              <w:marLeft w:val="0"/>
                                                              <w:marRight w:val="0"/>
                                                              <w:marTop w:val="0"/>
                                                              <w:marBottom w:val="0"/>
                                                              <w:divBdr>
                                                                <w:top w:val="none" w:sz="0" w:space="0" w:color="auto"/>
                                                                <w:left w:val="none" w:sz="0" w:space="0" w:color="auto"/>
                                                                <w:bottom w:val="none" w:sz="0" w:space="0" w:color="auto"/>
                                                                <w:right w:val="none" w:sz="0" w:space="0" w:color="auto"/>
                                                              </w:divBdr>
                                                              <w:divsChild>
                                                                <w:div w:id="1906599465">
                                                                  <w:marLeft w:val="0"/>
                                                                  <w:marRight w:val="0"/>
                                                                  <w:marTop w:val="0"/>
                                                                  <w:marBottom w:val="0"/>
                                                                  <w:divBdr>
                                                                    <w:top w:val="none" w:sz="0" w:space="0" w:color="auto"/>
                                                                    <w:left w:val="none" w:sz="0" w:space="0" w:color="auto"/>
                                                                    <w:bottom w:val="none" w:sz="0" w:space="0" w:color="auto"/>
                                                                    <w:right w:val="none" w:sz="0" w:space="0" w:color="auto"/>
                                                                  </w:divBdr>
                                                                  <w:divsChild>
                                                                    <w:div w:id="559092987">
                                                                      <w:marLeft w:val="0"/>
                                                                      <w:marRight w:val="0"/>
                                                                      <w:marTop w:val="0"/>
                                                                      <w:marBottom w:val="0"/>
                                                                      <w:divBdr>
                                                                        <w:top w:val="none" w:sz="0" w:space="0" w:color="auto"/>
                                                                        <w:left w:val="none" w:sz="0" w:space="0" w:color="auto"/>
                                                                        <w:bottom w:val="none" w:sz="0" w:space="0" w:color="auto"/>
                                                                        <w:right w:val="none" w:sz="0" w:space="0" w:color="auto"/>
                                                                      </w:divBdr>
                                                                      <w:divsChild>
                                                                        <w:div w:id="3614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488091">
      <w:bodyDiv w:val="1"/>
      <w:marLeft w:val="0"/>
      <w:marRight w:val="0"/>
      <w:marTop w:val="0"/>
      <w:marBottom w:val="0"/>
      <w:divBdr>
        <w:top w:val="none" w:sz="0" w:space="0" w:color="auto"/>
        <w:left w:val="none" w:sz="0" w:space="0" w:color="auto"/>
        <w:bottom w:val="none" w:sz="0" w:space="0" w:color="auto"/>
        <w:right w:val="none" w:sz="0" w:space="0" w:color="auto"/>
      </w:divBdr>
    </w:div>
    <w:div w:id="1701660273">
      <w:bodyDiv w:val="1"/>
      <w:marLeft w:val="0"/>
      <w:marRight w:val="0"/>
      <w:marTop w:val="0"/>
      <w:marBottom w:val="0"/>
      <w:divBdr>
        <w:top w:val="none" w:sz="0" w:space="0" w:color="auto"/>
        <w:left w:val="none" w:sz="0" w:space="0" w:color="auto"/>
        <w:bottom w:val="none" w:sz="0" w:space="0" w:color="auto"/>
        <w:right w:val="none" w:sz="0" w:space="0" w:color="auto"/>
      </w:divBdr>
    </w:div>
    <w:div w:id="1714110006">
      <w:bodyDiv w:val="1"/>
      <w:marLeft w:val="0"/>
      <w:marRight w:val="0"/>
      <w:marTop w:val="0"/>
      <w:marBottom w:val="0"/>
      <w:divBdr>
        <w:top w:val="none" w:sz="0" w:space="0" w:color="auto"/>
        <w:left w:val="none" w:sz="0" w:space="0" w:color="auto"/>
        <w:bottom w:val="none" w:sz="0" w:space="0" w:color="auto"/>
        <w:right w:val="none" w:sz="0" w:space="0" w:color="auto"/>
      </w:divBdr>
    </w:div>
    <w:div w:id="1754933016">
      <w:bodyDiv w:val="1"/>
      <w:marLeft w:val="0"/>
      <w:marRight w:val="0"/>
      <w:marTop w:val="0"/>
      <w:marBottom w:val="0"/>
      <w:divBdr>
        <w:top w:val="none" w:sz="0" w:space="0" w:color="auto"/>
        <w:left w:val="none" w:sz="0" w:space="0" w:color="auto"/>
        <w:bottom w:val="none" w:sz="0" w:space="0" w:color="auto"/>
        <w:right w:val="none" w:sz="0" w:space="0" w:color="auto"/>
      </w:divBdr>
    </w:div>
    <w:div w:id="1776637328">
      <w:bodyDiv w:val="1"/>
      <w:marLeft w:val="0"/>
      <w:marRight w:val="0"/>
      <w:marTop w:val="0"/>
      <w:marBottom w:val="0"/>
      <w:divBdr>
        <w:top w:val="none" w:sz="0" w:space="0" w:color="auto"/>
        <w:left w:val="none" w:sz="0" w:space="0" w:color="auto"/>
        <w:bottom w:val="none" w:sz="0" w:space="0" w:color="auto"/>
        <w:right w:val="none" w:sz="0" w:space="0" w:color="auto"/>
      </w:divBdr>
    </w:div>
    <w:div w:id="1777481718">
      <w:bodyDiv w:val="1"/>
      <w:marLeft w:val="0"/>
      <w:marRight w:val="0"/>
      <w:marTop w:val="0"/>
      <w:marBottom w:val="0"/>
      <w:divBdr>
        <w:top w:val="none" w:sz="0" w:space="0" w:color="auto"/>
        <w:left w:val="none" w:sz="0" w:space="0" w:color="auto"/>
        <w:bottom w:val="none" w:sz="0" w:space="0" w:color="auto"/>
        <w:right w:val="none" w:sz="0" w:space="0" w:color="auto"/>
      </w:divBdr>
    </w:div>
    <w:div w:id="1802573179">
      <w:bodyDiv w:val="1"/>
      <w:marLeft w:val="0"/>
      <w:marRight w:val="0"/>
      <w:marTop w:val="0"/>
      <w:marBottom w:val="0"/>
      <w:divBdr>
        <w:top w:val="none" w:sz="0" w:space="0" w:color="auto"/>
        <w:left w:val="none" w:sz="0" w:space="0" w:color="auto"/>
        <w:bottom w:val="none" w:sz="0" w:space="0" w:color="auto"/>
        <w:right w:val="none" w:sz="0" w:space="0" w:color="auto"/>
      </w:divBdr>
    </w:div>
    <w:div w:id="1855605130">
      <w:bodyDiv w:val="1"/>
      <w:marLeft w:val="0"/>
      <w:marRight w:val="0"/>
      <w:marTop w:val="0"/>
      <w:marBottom w:val="0"/>
      <w:divBdr>
        <w:top w:val="none" w:sz="0" w:space="0" w:color="auto"/>
        <w:left w:val="none" w:sz="0" w:space="0" w:color="auto"/>
        <w:bottom w:val="none" w:sz="0" w:space="0" w:color="auto"/>
        <w:right w:val="none" w:sz="0" w:space="0" w:color="auto"/>
      </w:divBdr>
    </w:div>
    <w:div w:id="1963487821">
      <w:bodyDiv w:val="1"/>
      <w:marLeft w:val="0"/>
      <w:marRight w:val="0"/>
      <w:marTop w:val="0"/>
      <w:marBottom w:val="0"/>
      <w:divBdr>
        <w:top w:val="none" w:sz="0" w:space="0" w:color="auto"/>
        <w:left w:val="none" w:sz="0" w:space="0" w:color="auto"/>
        <w:bottom w:val="none" w:sz="0" w:space="0" w:color="auto"/>
        <w:right w:val="none" w:sz="0" w:space="0" w:color="auto"/>
      </w:divBdr>
    </w:div>
    <w:div w:id="1975600389">
      <w:bodyDiv w:val="1"/>
      <w:marLeft w:val="0"/>
      <w:marRight w:val="0"/>
      <w:marTop w:val="0"/>
      <w:marBottom w:val="0"/>
      <w:divBdr>
        <w:top w:val="none" w:sz="0" w:space="0" w:color="auto"/>
        <w:left w:val="none" w:sz="0" w:space="0" w:color="auto"/>
        <w:bottom w:val="none" w:sz="0" w:space="0" w:color="auto"/>
        <w:right w:val="none" w:sz="0" w:space="0" w:color="auto"/>
      </w:divBdr>
    </w:div>
    <w:div w:id="2005357237">
      <w:bodyDiv w:val="1"/>
      <w:marLeft w:val="0"/>
      <w:marRight w:val="0"/>
      <w:marTop w:val="0"/>
      <w:marBottom w:val="0"/>
      <w:divBdr>
        <w:top w:val="none" w:sz="0" w:space="0" w:color="auto"/>
        <w:left w:val="none" w:sz="0" w:space="0" w:color="auto"/>
        <w:bottom w:val="none" w:sz="0" w:space="0" w:color="auto"/>
        <w:right w:val="none" w:sz="0" w:space="0" w:color="auto"/>
      </w:divBdr>
    </w:div>
    <w:div w:id="2070956001">
      <w:bodyDiv w:val="1"/>
      <w:marLeft w:val="0"/>
      <w:marRight w:val="0"/>
      <w:marTop w:val="0"/>
      <w:marBottom w:val="0"/>
      <w:divBdr>
        <w:top w:val="none" w:sz="0" w:space="0" w:color="auto"/>
        <w:left w:val="none" w:sz="0" w:space="0" w:color="auto"/>
        <w:bottom w:val="none" w:sz="0" w:space="0" w:color="auto"/>
        <w:right w:val="none" w:sz="0" w:space="0" w:color="auto"/>
      </w:divBdr>
    </w:div>
    <w:div w:id="2081710277">
      <w:bodyDiv w:val="1"/>
      <w:marLeft w:val="0"/>
      <w:marRight w:val="0"/>
      <w:marTop w:val="0"/>
      <w:marBottom w:val="0"/>
      <w:divBdr>
        <w:top w:val="none" w:sz="0" w:space="0" w:color="auto"/>
        <w:left w:val="none" w:sz="0" w:space="0" w:color="auto"/>
        <w:bottom w:val="none" w:sz="0" w:space="0" w:color="auto"/>
        <w:right w:val="none" w:sz="0" w:space="0" w:color="auto"/>
      </w:divBdr>
    </w:div>
    <w:div w:id="2082604990">
      <w:bodyDiv w:val="1"/>
      <w:marLeft w:val="0"/>
      <w:marRight w:val="0"/>
      <w:marTop w:val="0"/>
      <w:marBottom w:val="0"/>
      <w:divBdr>
        <w:top w:val="none" w:sz="0" w:space="0" w:color="auto"/>
        <w:left w:val="none" w:sz="0" w:space="0" w:color="auto"/>
        <w:bottom w:val="none" w:sz="0" w:space="0" w:color="auto"/>
        <w:right w:val="none" w:sz="0" w:space="0" w:color="auto"/>
      </w:divBdr>
    </w:div>
    <w:div w:id="2088526204">
      <w:bodyDiv w:val="1"/>
      <w:marLeft w:val="0"/>
      <w:marRight w:val="0"/>
      <w:marTop w:val="0"/>
      <w:marBottom w:val="0"/>
      <w:divBdr>
        <w:top w:val="none" w:sz="0" w:space="0" w:color="auto"/>
        <w:left w:val="none" w:sz="0" w:space="0" w:color="auto"/>
        <w:bottom w:val="none" w:sz="0" w:space="0" w:color="auto"/>
        <w:right w:val="none" w:sz="0" w:space="0" w:color="auto"/>
      </w:divBdr>
    </w:div>
    <w:div w:id="213066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438E2-EE67-4648-8E29-5E262EC9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3502</Words>
  <Characters>19963</Characters>
  <Application>Microsoft Office Word</Application>
  <DocSecurity>0</DocSecurity>
  <Lines>166</Lines>
  <Paragraphs>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Ludvig</dc:creator>
  <cp:keywords/>
  <dc:description/>
  <cp:lastModifiedBy>Iva Marić</cp:lastModifiedBy>
  <cp:revision>4</cp:revision>
  <cp:lastPrinted>2018-01-31T09:48:00Z</cp:lastPrinted>
  <dcterms:created xsi:type="dcterms:W3CDTF">2018-02-12T13:02:00Z</dcterms:created>
  <dcterms:modified xsi:type="dcterms:W3CDTF">2018-02-12T13:44:00Z</dcterms:modified>
</cp:coreProperties>
</file>