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5CEEB" w14:textId="77777777" w:rsidR="009C12D7" w:rsidRDefault="009C12D7" w:rsidP="009C12D7">
      <w:pPr>
        <w:jc w:val="center"/>
        <w:rPr>
          <w:rFonts w:cstheme="minorHAnsi"/>
        </w:rPr>
      </w:pPr>
      <w:r>
        <w:rPr>
          <w:rFonts w:cstheme="minorHAnsi"/>
        </w:rPr>
        <w:t>PITANJA I ODGOVORI</w:t>
      </w:r>
    </w:p>
    <w:p w14:paraId="378AF739" w14:textId="57C7C07D" w:rsidR="009C12D7" w:rsidRPr="009C12D7" w:rsidRDefault="009C12D7" w:rsidP="009C12D7">
      <w:pPr>
        <w:jc w:val="center"/>
        <w:rPr>
          <w:rFonts w:cstheme="minorHAnsi"/>
        </w:rPr>
      </w:pPr>
      <w:r w:rsidRPr="00C96557">
        <w:rPr>
          <w:rFonts w:cstheme="minorHAnsi"/>
        </w:rPr>
        <w:t>Informativna radionica u okviru Poziva na dostavu projektnih prijedloga „Umjetnost i kultura 54+“</w:t>
      </w:r>
      <w:r>
        <w:rPr>
          <w:rFonts w:cstheme="minorHAnsi"/>
        </w:rPr>
        <w:t xml:space="preserve"> </w:t>
      </w:r>
      <w:r>
        <w:rPr>
          <w:rFonts w:cstheme="minorHAnsi"/>
        </w:rPr>
        <w:t>u Osijeku, 14</w:t>
      </w:r>
      <w:r>
        <w:rPr>
          <w:rFonts w:cstheme="minorHAnsi"/>
        </w:rPr>
        <w:t>.06.2017.</w:t>
      </w:r>
      <w:bookmarkStart w:id="0" w:name="_GoBack"/>
      <w:bookmarkEnd w:id="0"/>
    </w:p>
    <w:tbl>
      <w:tblPr>
        <w:tblStyle w:val="TableGrid"/>
        <w:tblW w:w="10343" w:type="dxa"/>
        <w:tblLayout w:type="fixed"/>
        <w:tblLook w:val="04A0" w:firstRow="1" w:lastRow="0" w:firstColumn="1" w:lastColumn="0" w:noHBand="0" w:noVBand="1"/>
      </w:tblPr>
      <w:tblGrid>
        <w:gridCol w:w="704"/>
        <w:gridCol w:w="4819"/>
        <w:gridCol w:w="4820"/>
      </w:tblGrid>
      <w:tr w:rsidR="009C12D7" w:rsidRPr="00FF5A26" w14:paraId="693F9C29" w14:textId="77777777" w:rsidTr="007873DD">
        <w:tc>
          <w:tcPr>
            <w:tcW w:w="704" w:type="dxa"/>
          </w:tcPr>
          <w:p w14:paraId="19EE89C9" w14:textId="77777777" w:rsidR="009C12D7" w:rsidRPr="00FF5A26" w:rsidRDefault="009C12D7" w:rsidP="007873DD">
            <w:pPr>
              <w:rPr>
                <w:rFonts w:cstheme="minorHAnsi"/>
              </w:rPr>
            </w:pPr>
            <w:r w:rsidRPr="00FF5A26">
              <w:rPr>
                <w:rFonts w:cstheme="minorHAnsi"/>
              </w:rPr>
              <w:t>Broj</w:t>
            </w:r>
          </w:p>
        </w:tc>
        <w:tc>
          <w:tcPr>
            <w:tcW w:w="4819" w:type="dxa"/>
            <w:tcBorders>
              <w:top w:val="single" w:sz="4" w:space="0" w:color="auto"/>
              <w:left w:val="single" w:sz="4" w:space="0" w:color="auto"/>
              <w:bottom w:val="single" w:sz="4" w:space="0" w:color="auto"/>
              <w:right w:val="single" w:sz="4" w:space="0" w:color="auto"/>
            </w:tcBorders>
          </w:tcPr>
          <w:p w14:paraId="6F28B5FD" w14:textId="77777777" w:rsidR="009C12D7" w:rsidRPr="00881546" w:rsidRDefault="009C12D7" w:rsidP="007873DD">
            <w:pPr>
              <w:rPr>
                <w:rFonts w:cstheme="minorHAnsi"/>
              </w:rPr>
            </w:pPr>
            <w:r w:rsidRPr="00FF5A26">
              <w:rPr>
                <w:rFonts w:cstheme="minorHAnsi"/>
              </w:rPr>
              <w:t>PITANJE</w:t>
            </w:r>
          </w:p>
        </w:tc>
        <w:tc>
          <w:tcPr>
            <w:tcW w:w="4820" w:type="dxa"/>
            <w:tcBorders>
              <w:top w:val="single" w:sz="4" w:space="0" w:color="auto"/>
              <w:left w:val="single" w:sz="4" w:space="0" w:color="auto"/>
              <w:bottom w:val="single" w:sz="4" w:space="0" w:color="auto"/>
              <w:right w:val="single" w:sz="4" w:space="0" w:color="auto"/>
            </w:tcBorders>
          </w:tcPr>
          <w:p w14:paraId="07DAA02D" w14:textId="77777777" w:rsidR="009C12D7" w:rsidRPr="00FF5A26" w:rsidRDefault="009C12D7" w:rsidP="007873DD">
            <w:pPr>
              <w:rPr>
                <w:rFonts w:cstheme="minorHAnsi"/>
              </w:rPr>
            </w:pPr>
            <w:r w:rsidRPr="00FF5A26">
              <w:rPr>
                <w:rFonts w:cstheme="minorHAnsi"/>
              </w:rPr>
              <w:t>ODGOVOR</w:t>
            </w:r>
          </w:p>
        </w:tc>
      </w:tr>
      <w:tr w:rsidR="009C12D7" w:rsidRPr="00FF5A26" w14:paraId="286247BF" w14:textId="77777777" w:rsidTr="007873DD">
        <w:tc>
          <w:tcPr>
            <w:tcW w:w="704" w:type="dxa"/>
          </w:tcPr>
          <w:p w14:paraId="4856CB7A" w14:textId="77777777" w:rsidR="009C12D7" w:rsidRPr="007308FE" w:rsidRDefault="009C12D7" w:rsidP="007873DD">
            <w:pPr>
              <w:pStyle w:val="ListParagraph"/>
              <w:numPr>
                <w:ilvl w:val="0"/>
                <w:numId w:val="3"/>
              </w:numPr>
              <w:rPr>
                <w:rFonts w:cstheme="minorHAnsi"/>
              </w:rPr>
            </w:pPr>
          </w:p>
        </w:tc>
        <w:tc>
          <w:tcPr>
            <w:tcW w:w="4819" w:type="dxa"/>
            <w:tcBorders>
              <w:top w:val="single" w:sz="4" w:space="0" w:color="auto"/>
              <w:left w:val="single" w:sz="4" w:space="0" w:color="auto"/>
              <w:bottom w:val="single" w:sz="4" w:space="0" w:color="auto"/>
              <w:right w:val="single" w:sz="4" w:space="0" w:color="auto"/>
            </w:tcBorders>
          </w:tcPr>
          <w:p w14:paraId="44C8E774" w14:textId="77777777" w:rsidR="009C12D7" w:rsidRPr="00FF5A26" w:rsidRDefault="009C12D7" w:rsidP="007873DD">
            <w:pPr>
              <w:rPr>
                <w:rFonts w:cstheme="minorHAnsi"/>
              </w:rPr>
            </w:pPr>
            <w:r w:rsidRPr="006B220F">
              <w:rPr>
                <w:rFonts w:cstheme="minorHAnsi"/>
              </w:rPr>
              <w:t>Naša organizacija planira projekt koji bi uključivao osposobljavanje osoba starijih od 54 godine za pojedina pomoćna muzejska zvanja (npr. vođenje grupa po izložba i postava). Navedene edukacije bi provodili muzejski pedagozi i stručnjaci, a pripadnici ciljne skupine „stariji od 54 godine“ bi se osposobljavali za razne poslove koji bi uključivali i poslove vođenja umjetničkih i edukativnih radionica. Projekt bi uključivao i provođenje nekih muzejskih aktivnosti od strane pripadnika ciljne skupine „stariji od 54 godine“, primjerice vođenje radionica. U okviru ovog natječaja, koji su prihvatljivi troškovi za pripadnike ciljne skupine, a koji za muzejske stručnjake koji bi provodili aktivnosti osposobljavanja osoba starijih od 54 godine?</w:t>
            </w:r>
          </w:p>
        </w:tc>
        <w:tc>
          <w:tcPr>
            <w:tcW w:w="4820" w:type="dxa"/>
            <w:tcBorders>
              <w:top w:val="single" w:sz="4" w:space="0" w:color="auto"/>
              <w:left w:val="single" w:sz="4" w:space="0" w:color="auto"/>
              <w:bottom w:val="single" w:sz="4" w:space="0" w:color="auto"/>
              <w:right w:val="single" w:sz="4" w:space="0" w:color="auto"/>
            </w:tcBorders>
          </w:tcPr>
          <w:p w14:paraId="6A6428B3" w14:textId="77777777" w:rsidR="009C12D7" w:rsidRDefault="009C12D7" w:rsidP="007873DD">
            <w:pPr>
              <w:rPr>
                <w:rFonts w:cstheme="minorHAnsi"/>
              </w:rPr>
            </w:pPr>
            <w:r>
              <w:rPr>
                <w:rFonts w:cstheme="minorHAnsi"/>
              </w:rPr>
              <w:t xml:space="preserve">Sukladno točki 3.3 </w:t>
            </w:r>
            <w:r>
              <w:rPr>
                <w:rFonts w:cstheme="minorHAnsi"/>
                <w:i/>
              </w:rPr>
              <w:t>Prihvatljive aktivnosti</w:t>
            </w:r>
            <w:r>
              <w:rPr>
                <w:rFonts w:cstheme="minorHAnsi"/>
              </w:rPr>
              <w:t xml:space="preserve"> Uputa za prijavitelje, prihvatljive aktivnosti uključuju pripremu i provedbu participativnih </w:t>
            </w:r>
            <w:r w:rsidRPr="0082781C">
              <w:rPr>
                <w:rFonts w:cstheme="minorHAnsi"/>
              </w:rPr>
              <w:t>kulturn</w:t>
            </w:r>
            <w:r>
              <w:rPr>
                <w:rFonts w:cstheme="minorHAnsi"/>
              </w:rPr>
              <w:t>ih</w:t>
            </w:r>
            <w:r w:rsidRPr="0082781C">
              <w:rPr>
                <w:rFonts w:cstheme="minorHAnsi"/>
              </w:rPr>
              <w:t xml:space="preserve"> i umjetničk</w:t>
            </w:r>
            <w:r>
              <w:rPr>
                <w:rFonts w:cstheme="minorHAnsi"/>
              </w:rPr>
              <w:t>ih</w:t>
            </w:r>
            <w:r w:rsidRPr="0082781C">
              <w:rPr>
                <w:rFonts w:cstheme="minorHAnsi"/>
              </w:rPr>
              <w:t xml:space="preserve"> aktivnosti </w:t>
            </w:r>
            <w:r>
              <w:rPr>
                <w:rFonts w:cstheme="minorHAnsi"/>
              </w:rPr>
              <w:t>za pripadnike ciljne skupine „osobe starije od 54 godine“ koje su usmjerene na njihovo socijalno uključivanje. Takve aktivnosti mogu uključivati razne</w:t>
            </w:r>
            <w:r w:rsidRPr="0085046B">
              <w:rPr>
                <w:rFonts w:cstheme="minorHAnsi"/>
              </w:rPr>
              <w:t xml:space="preserve"> umjetničk</w:t>
            </w:r>
            <w:r>
              <w:rPr>
                <w:rFonts w:cstheme="minorHAnsi"/>
              </w:rPr>
              <w:t>e</w:t>
            </w:r>
            <w:r w:rsidRPr="0085046B">
              <w:rPr>
                <w:rFonts w:cstheme="minorHAnsi"/>
              </w:rPr>
              <w:t xml:space="preserve"> radionic</w:t>
            </w:r>
            <w:r>
              <w:rPr>
                <w:rFonts w:cstheme="minorHAnsi"/>
              </w:rPr>
              <w:t>e</w:t>
            </w:r>
            <w:r w:rsidRPr="0085046B">
              <w:rPr>
                <w:rFonts w:cstheme="minorHAnsi"/>
              </w:rPr>
              <w:t>, umjetničk</w:t>
            </w:r>
            <w:r>
              <w:rPr>
                <w:rFonts w:cstheme="minorHAnsi"/>
              </w:rPr>
              <w:t>e</w:t>
            </w:r>
            <w:r w:rsidRPr="0085046B">
              <w:rPr>
                <w:rFonts w:cstheme="minorHAnsi"/>
              </w:rPr>
              <w:t xml:space="preserve"> kampov</w:t>
            </w:r>
            <w:r>
              <w:rPr>
                <w:rFonts w:cstheme="minorHAnsi"/>
              </w:rPr>
              <w:t>e</w:t>
            </w:r>
            <w:r w:rsidRPr="0085046B">
              <w:rPr>
                <w:rFonts w:cstheme="minorHAnsi"/>
              </w:rPr>
              <w:t>, realizacij</w:t>
            </w:r>
            <w:r>
              <w:rPr>
                <w:rFonts w:cstheme="minorHAnsi"/>
              </w:rPr>
              <w:t>u</w:t>
            </w:r>
            <w:r w:rsidRPr="0085046B">
              <w:rPr>
                <w:rFonts w:cstheme="minorHAnsi"/>
              </w:rPr>
              <w:t xml:space="preserve"> kulturnih događanja, predavanja/tribine iz različitih područja kulture i umjetnosti</w:t>
            </w:r>
            <w:r>
              <w:rPr>
                <w:rFonts w:cstheme="minorHAnsi"/>
              </w:rPr>
              <w:t>, kao i ostale kulturne i umjetničke aktivnosti čiji doprinos socijalnom uključivanju navedene ciljne skupine</w:t>
            </w:r>
            <w:r>
              <w:t xml:space="preserve"> </w:t>
            </w:r>
            <w:r w:rsidRPr="0082781C">
              <w:rPr>
                <w:rFonts w:cstheme="minorHAnsi"/>
              </w:rPr>
              <w:t>prijavitelj može obrazložiti</w:t>
            </w:r>
            <w:r>
              <w:rPr>
                <w:rFonts w:cstheme="minorHAnsi"/>
              </w:rPr>
              <w:t>.</w:t>
            </w:r>
          </w:p>
          <w:p w14:paraId="1F7A59E2" w14:textId="77777777" w:rsidR="009C12D7" w:rsidRDefault="009C12D7" w:rsidP="007873DD">
            <w:pPr>
              <w:rPr>
                <w:rFonts w:cstheme="minorHAnsi"/>
              </w:rPr>
            </w:pPr>
          </w:p>
          <w:p w14:paraId="33D6FA6F" w14:textId="77777777" w:rsidR="009C12D7" w:rsidRDefault="009C12D7" w:rsidP="007873DD">
            <w:pPr>
              <w:rPr>
                <w:rFonts w:cstheme="minorHAnsi"/>
              </w:rPr>
            </w:pPr>
            <w:r>
              <w:rPr>
                <w:rFonts w:cstheme="minorHAnsi"/>
              </w:rPr>
              <w:t>Osobe koja provode navedene</w:t>
            </w:r>
            <w:r w:rsidRPr="0082781C">
              <w:rPr>
                <w:rFonts w:cstheme="minorHAnsi"/>
              </w:rPr>
              <w:t xml:space="preserve"> aktivnosti mora</w:t>
            </w:r>
            <w:r>
              <w:rPr>
                <w:rFonts w:cstheme="minorHAnsi"/>
              </w:rPr>
              <w:t>ju imati odgovarajuće umjetničke</w:t>
            </w:r>
            <w:r w:rsidRPr="0082781C">
              <w:rPr>
                <w:rFonts w:cstheme="minorHAnsi"/>
              </w:rPr>
              <w:t xml:space="preserve"> i ostale</w:t>
            </w:r>
            <w:r>
              <w:rPr>
                <w:rFonts w:cstheme="minorHAnsi"/>
              </w:rPr>
              <w:t xml:space="preserve"> stručne kompetencije (potrebno navesti u Prijavnom obrascu B, točka </w:t>
            </w:r>
            <w:r w:rsidRPr="007031E6">
              <w:rPr>
                <w:rFonts w:cstheme="minorHAnsi"/>
                <w:i/>
              </w:rPr>
              <w:t>2.1 Projektni tim</w:t>
            </w:r>
            <w:r>
              <w:rPr>
                <w:rFonts w:cstheme="minorHAnsi"/>
              </w:rPr>
              <w:t>), a njihova</w:t>
            </w:r>
            <w:r w:rsidRPr="0082781C">
              <w:rPr>
                <w:rFonts w:cstheme="minorHAnsi"/>
              </w:rPr>
              <w:t xml:space="preserve"> dob nije relevantna.</w:t>
            </w:r>
            <w:r>
              <w:rPr>
                <w:rFonts w:cstheme="minorHAnsi"/>
              </w:rPr>
              <w:t xml:space="preserve"> </w:t>
            </w:r>
          </w:p>
          <w:p w14:paraId="59524B2A" w14:textId="77777777" w:rsidR="009C12D7" w:rsidRPr="0082781C" w:rsidRDefault="009C12D7" w:rsidP="007873DD">
            <w:pPr>
              <w:rPr>
                <w:rFonts w:cstheme="minorHAnsi"/>
              </w:rPr>
            </w:pPr>
          </w:p>
          <w:p w14:paraId="451A781A" w14:textId="77777777" w:rsidR="009C12D7" w:rsidRDefault="009C12D7" w:rsidP="007873DD">
            <w:pPr>
              <w:rPr>
                <w:rFonts w:cstheme="minorHAnsi"/>
              </w:rPr>
            </w:pPr>
            <w:r>
              <w:rPr>
                <w:rFonts w:cstheme="minorHAnsi"/>
              </w:rPr>
              <w:t>Također, samo osobe koja provode navedene aktivnosti mogu biti sudionici stručnog usavršavanja kao pripadnici ciljne skupine „stručnjaci iz područja kulture i umjetnosti“, i to ukoliko su zaposlenici ustanove u kulturi, umjetničke organizacije udruge u području kulture i umjetnosti, zaklade odnosno neprofitne zadruge koja obavlja kulturnu/umjetničku djelatnost ili su članovi Hrvatske zajednice samostalnih umjetnika.</w:t>
            </w:r>
          </w:p>
          <w:p w14:paraId="237E623A" w14:textId="77777777" w:rsidR="009C12D7" w:rsidRDefault="009C12D7" w:rsidP="007873DD">
            <w:pPr>
              <w:rPr>
                <w:rFonts w:cstheme="minorHAnsi"/>
              </w:rPr>
            </w:pPr>
          </w:p>
          <w:p w14:paraId="428B0A4F" w14:textId="77777777" w:rsidR="009C12D7" w:rsidRDefault="009C12D7" w:rsidP="007873DD">
            <w:pPr>
              <w:rPr>
                <w:rFonts w:cstheme="minorHAnsi"/>
                <w:i/>
              </w:rPr>
            </w:pPr>
            <w:r>
              <w:rPr>
                <w:rFonts w:cstheme="minorHAnsi"/>
              </w:rPr>
              <w:t xml:space="preserve">Za osobe koje provode projektne aktivnosti prihvatljivi su troškovi rada sukladno </w:t>
            </w:r>
            <w:r>
              <w:rPr>
                <w:rFonts w:cstheme="minorHAnsi"/>
                <w:i/>
              </w:rPr>
              <w:t xml:space="preserve">Uputi o prihvatljivosti troškova plaća i troškova povezanih s radom u okviru ESF u RH. </w:t>
            </w:r>
          </w:p>
          <w:p w14:paraId="6B175E3A" w14:textId="77777777" w:rsidR="009C12D7" w:rsidRDefault="009C12D7" w:rsidP="007873DD">
            <w:pPr>
              <w:rPr>
                <w:rFonts w:cstheme="minorHAnsi"/>
              </w:rPr>
            </w:pPr>
            <w:r>
              <w:rPr>
                <w:rFonts w:cstheme="minorHAnsi"/>
              </w:rPr>
              <w:t>Za pripadnike ciljanih skupina prihvatljivi su troškovi u vezi s njihovim sudjelovanjem u projektnim aktivnostima, npr. putni troškovi.</w:t>
            </w:r>
          </w:p>
          <w:p w14:paraId="7A86B5A0" w14:textId="77777777" w:rsidR="009C12D7" w:rsidRDefault="009C12D7" w:rsidP="007873DD">
            <w:pPr>
              <w:rPr>
                <w:rFonts w:cstheme="minorHAnsi"/>
              </w:rPr>
            </w:pPr>
          </w:p>
          <w:p w14:paraId="1CF2C452" w14:textId="77777777" w:rsidR="009C12D7" w:rsidRPr="00EF2BC3" w:rsidRDefault="009C12D7" w:rsidP="007873DD">
            <w:pPr>
              <w:rPr>
                <w:rFonts w:cstheme="minorHAnsi"/>
              </w:rPr>
            </w:pPr>
            <w:r>
              <w:rPr>
                <w:rFonts w:cstheme="minorHAnsi"/>
              </w:rPr>
              <w:t xml:space="preserve">Prihvatljivi troškovi u okviru ovog Poziva navedeni su u točki </w:t>
            </w:r>
            <w:r w:rsidRPr="0085046B">
              <w:rPr>
                <w:rFonts w:cstheme="minorHAnsi"/>
              </w:rPr>
              <w:t xml:space="preserve">4.1.1 </w:t>
            </w:r>
            <w:r w:rsidRPr="0085046B">
              <w:rPr>
                <w:rFonts w:cstheme="minorHAnsi"/>
                <w:i/>
              </w:rPr>
              <w:t>Prihvatljivi izdaci</w:t>
            </w:r>
            <w:r>
              <w:rPr>
                <w:rFonts w:cstheme="minorHAnsi"/>
              </w:rPr>
              <w:t xml:space="preserve"> Uputa za prijavitelje.</w:t>
            </w:r>
          </w:p>
        </w:tc>
      </w:tr>
      <w:tr w:rsidR="009C12D7" w:rsidRPr="00FF5A26" w14:paraId="747FE8F6" w14:textId="77777777" w:rsidTr="007873DD">
        <w:tc>
          <w:tcPr>
            <w:tcW w:w="704" w:type="dxa"/>
          </w:tcPr>
          <w:p w14:paraId="5D672893" w14:textId="77777777" w:rsidR="009C12D7" w:rsidRPr="007308FE" w:rsidRDefault="009C12D7" w:rsidP="007873DD">
            <w:pPr>
              <w:pStyle w:val="ListParagraph"/>
              <w:numPr>
                <w:ilvl w:val="0"/>
                <w:numId w:val="3"/>
              </w:numPr>
              <w:rPr>
                <w:rFonts w:cstheme="minorHAnsi"/>
              </w:rPr>
            </w:pPr>
          </w:p>
        </w:tc>
        <w:tc>
          <w:tcPr>
            <w:tcW w:w="4819" w:type="dxa"/>
            <w:tcBorders>
              <w:top w:val="single" w:sz="4" w:space="0" w:color="auto"/>
              <w:left w:val="single" w:sz="4" w:space="0" w:color="auto"/>
              <w:bottom w:val="single" w:sz="4" w:space="0" w:color="auto"/>
              <w:right w:val="single" w:sz="4" w:space="0" w:color="auto"/>
            </w:tcBorders>
          </w:tcPr>
          <w:p w14:paraId="598C8676" w14:textId="77777777" w:rsidR="009C12D7" w:rsidRPr="00FF5A26" w:rsidRDefault="009C12D7" w:rsidP="007873DD">
            <w:pPr>
              <w:rPr>
                <w:rFonts w:cstheme="minorHAnsi"/>
              </w:rPr>
            </w:pPr>
            <w:r>
              <w:rPr>
                <w:rFonts w:cstheme="minorHAnsi"/>
              </w:rPr>
              <w:t>Može li partner na projektu biti ustanova socijalne skrbi koju je osnovala jedinica regionalne samouprave?</w:t>
            </w:r>
          </w:p>
        </w:tc>
        <w:tc>
          <w:tcPr>
            <w:tcW w:w="4820" w:type="dxa"/>
            <w:tcBorders>
              <w:top w:val="single" w:sz="4" w:space="0" w:color="auto"/>
              <w:left w:val="single" w:sz="4" w:space="0" w:color="auto"/>
              <w:bottom w:val="single" w:sz="4" w:space="0" w:color="auto"/>
              <w:right w:val="single" w:sz="4" w:space="0" w:color="auto"/>
            </w:tcBorders>
          </w:tcPr>
          <w:p w14:paraId="7F0F4EC1" w14:textId="77777777" w:rsidR="009C12D7" w:rsidRPr="006F57EE" w:rsidRDefault="009C12D7" w:rsidP="007873DD">
            <w:pPr>
              <w:rPr>
                <w:rFonts w:cstheme="minorHAnsi"/>
              </w:rPr>
            </w:pPr>
            <w:r>
              <w:rPr>
                <w:rFonts w:cstheme="minorHAnsi"/>
              </w:rPr>
              <w:t xml:space="preserve">Ne. </w:t>
            </w:r>
            <w:r w:rsidRPr="006F57EE">
              <w:rPr>
                <w:rFonts w:cstheme="minorHAnsi"/>
              </w:rPr>
              <w:t xml:space="preserve">Prema točki 2.2.2 </w:t>
            </w:r>
            <w:r w:rsidRPr="006F57EE">
              <w:rPr>
                <w:rFonts w:cstheme="minorHAnsi"/>
                <w:i/>
              </w:rPr>
              <w:t>Prihvatljivi partneri</w:t>
            </w:r>
            <w:r w:rsidRPr="006F57EE">
              <w:rPr>
                <w:rFonts w:cstheme="minorHAnsi"/>
              </w:rPr>
              <w:t xml:space="preserve"> Uputa </w:t>
            </w:r>
          </w:p>
          <w:p w14:paraId="094D45EA" w14:textId="77777777" w:rsidR="009C12D7" w:rsidRPr="00FF5A26" w:rsidRDefault="009C12D7" w:rsidP="007873DD">
            <w:pPr>
              <w:rPr>
                <w:rFonts w:cstheme="minorHAnsi"/>
              </w:rPr>
            </w:pPr>
            <w:r w:rsidRPr="006F57EE">
              <w:rPr>
                <w:rFonts w:cstheme="minorHAnsi"/>
              </w:rPr>
              <w:t xml:space="preserve">za prijavitelje, </w:t>
            </w:r>
            <w:r>
              <w:rPr>
                <w:rFonts w:cstheme="minorHAnsi"/>
              </w:rPr>
              <w:t>ustanove socijalne skrbi nisu</w:t>
            </w:r>
            <w:r w:rsidRPr="006F57EE">
              <w:rPr>
                <w:rFonts w:cstheme="minorHAnsi"/>
              </w:rPr>
              <w:t xml:space="preserve"> prihvatljivi partneri u </w:t>
            </w:r>
            <w:r>
              <w:rPr>
                <w:rFonts w:cstheme="minorHAnsi"/>
              </w:rPr>
              <w:t>okviru</w:t>
            </w:r>
            <w:r w:rsidRPr="006F57EE">
              <w:rPr>
                <w:rFonts w:cstheme="minorHAnsi"/>
              </w:rPr>
              <w:t xml:space="preserve"> Poziva.</w:t>
            </w:r>
          </w:p>
        </w:tc>
      </w:tr>
      <w:tr w:rsidR="009C12D7" w:rsidRPr="00FF5A26" w14:paraId="31847841" w14:textId="77777777" w:rsidTr="007873DD">
        <w:tc>
          <w:tcPr>
            <w:tcW w:w="704" w:type="dxa"/>
          </w:tcPr>
          <w:p w14:paraId="6A192617" w14:textId="77777777" w:rsidR="009C12D7" w:rsidRPr="007308FE" w:rsidRDefault="009C12D7" w:rsidP="007873DD">
            <w:pPr>
              <w:pStyle w:val="ListParagraph"/>
              <w:numPr>
                <w:ilvl w:val="0"/>
                <w:numId w:val="3"/>
              </w:numPr>
              <w:rPr>
                <w:rFonts w:cstheme="minorHAnsi"/>
              </w:rPr>
            </w:pPr>
          </w:p>
        </w:tc>
        <w:tc>
          <w:tcPr>
            <w:tcW w:w="4819" w:type="dxa"/>
            <w:tcBorders>
              <w:top w:val="single" w:sz="4" w:space="0" w:color="auto"/>
              <w:left w:val="single" w:sz="4" w:space="0" w:color="auto"/>
              <w:bottom w:val="single" w:sz="4" w:space="0" w:color="auto"/>
              <w:right w:val="single" w:sz="4" w:space="0" w:color="auto"/>
            </w:tcBorders>
          </w:tcPr>
          <w:p w14:paraId="61D742F4" w14:textId="77777777" w:rsidR="009C12D7" w:rsidRPr="00FF5A26" w:rsidRDefault="009C12D7" w:rsidP="007873DD">
            <w:pPr>
              <w:rPr>
                <w:rFonts w:cstheme="minorHAnsi"/>
              </w:rPr>
            </w:pPr>
            <w:r>
              <w:rPr>
                <w:rFonts w:cstheme="minorHAnsi"/>
              </w:rPr>
              <w:t>Mogu li se osobe mlađe od 54 godine uključiti u projekt u ulozi volontera, tj. mogu li oni biti uključeni u projektne aktivnosti iako ne doprinose ispunjenju niti jednog od pokazatelja?</w:t>
            </w:r>
          </w:p>
        </w:tc>
        <w:tc>
          <w:tcPr>
            <w:tcW w:w="4820" w:type="dxa"/>
            <w:tcBorders>
              <w:top w:val="single" w:sz="4" w:space="0" w:color="auto"/>
              <w:left w:val="single" w:sz="4" w:space="0" w:color="auto"/>
              <w:bottom w:val="single" w:sz="4" w:space="0" w:color="auto"/>
              <w:right w:val="single" w:sz="4" w:space="0" w:color="auto"/>
            </w:tcBorders>
          </w:tcPr>
          <w:p w14:paraId="1A307B7C" w14:textId="77777777" w:rsidR="009C12D7" w:rsidRDefault="009C12D7" w:rsidP="007873DD">
            <w:pPr>
              <w:rPr>
                <w:rFonts w:cstheme="minorHAnsi"/>
              </w:rPr>
            </w:pPr>
            <w:r>
              <w:rPr>
                <w:rFonts w:cstheme="minorHAnsi"/>
              </w:rPr>
              <w:t xml:space="preserve">Svi sudionici projektnih aktivnosti moraju biti pripadnici jedne od ciljnih skupina Poziva (osobe starije od 54 godine ili stručnjaci iz područja kulture i umjetnosti) tj. moraju doprinositi jednom od pokazatelja Poziva (stariji od 54 godine ili stručnjaci koji su sudjelovali u osposobljavanju). </w:t>
            </w:r>
          </w:p>
          <w:p w14:paraId="50FE0CA7" w14:textId="77777777" w:rsidR="009C12D7" w:rsidRDefault="009C12D7" w:rsidP="007873DD">
            <w:pPr>
              <w:rPr>
                <w:rFonts w:cstheme="minorHAnsi"/>
              </w:rPr>
            </w:pPr>
          </w:p>
          <w:p w14:paraId="3D383CE2" w14:textId="77777777" w:rsidR="009C12D7" w:rsidRPr="00FF5A26" w:rsidRDefault="009C12D7" w:rsidP="007873DD">
            <w:pPr>
              <w:rPr>
                <w:rFonts w:cstheme="minorHAnsi"/>
              </w:rPr>
            </w:pPr>
            <w:r>
              <w:rPr>
                <w:rFonts w:cstheme="minorHAnsi"/>
              </w:rPr>
              <w:lastRenderedPageBreak/>
              <w:t>Osobe koje provode projektne aktivnosti ne moraju biti starije od 54 godine.</w:t>
            </w:r>
          </w:p>
        </w:tc>
      </w:tr>
      <w:tr w:rsidR="009C12D7" w:rsidRPr="00FF5A26" w14:paraId="4487A2AF" w14:textId="77777777" w:rsidTr="007873DD">
        <w:tc>
          <w:tcPr>
            <w:tcW w:w="704" w:type="dxa"/>
          </w:tcPr>
          <w:p w14:paraId="42061A66" w14:textId="77777777" w:rsidR="009C12D7" w:rsidRPr="007308FE" w:rsidRDefault="009C12D7" w:rsidP="007873DD">
            <w:pPr>
              <w:pStyle w:val="ListParagraph"/>
              <w:numPr>
                <w:ilvl w:val="0"/>
                <w:numId w:val="3"/>
              </w:numPr>
              <w:rPr>
                <w:rFonts w:cstheme="minorHAnsi"/>
              </w:rPr>
            </w:pPr>
          </w:p>
        </w:tc>
        <w:tc>
          <w:tcPr>
            <w:tcW w:w="4819" w:type="dxa"/>
            <w:tcBorders>
              <w:top w:val="single" w:sz="4" w:space="0" w:color="auto"/>
              <w:left w:val="single" w:sz="4" w:space="0" w:color="auto"/>
              <w:bottom w:val="single" w:sz="4" w:space="0" w:color="auto"/>
              <w:right w:val="single" w:sz="4" w:space="0" w:color="auto"/>
            </w:tcBorders>
          </w:tcPr>
          <w:p w14:paraId="7F2F8B26" w14:textId="77777777" w:rsidR="009C12D7" w:rsidRPr="00FF5A26" w:rsidRDefault="009C12D7" w:rsidP="007873DD">
            <w:pPr>
              <w:rPr>
                <w:rFonts w:cstheme="minorHAnsi"/>
              </w:rPr>
            </w:pPr>
            <w:r>
              <w:rPr>
                <w:rFonts w:cstheme="minorHAnsi"/>
              </w:rPr>
              <w:t>Mogu li sudionici u aktivnostima stručnog osposobljavanja biti umjetnici i kulturni radnici koji rade na ugovor o djelu ili autorski ugovor?</w:t>
            </w:r>
          </w:p>
        </w:tc>
        <w:tc>
          <w:tcPr>
            <w:tcW w:w="4820" w:type="dxa"/>
            <w:tcBorders>
              <w:top w:val="single" w:sz="4" w:space="0" w:color="auto"/>
              <w:left w:val="single" w:sz="4" w:space="0" w:color="auto"/>
              <w:bottom w:val="single" w:sz="4" w:space="0" w:color="auto"/>
              <w:right w:val="single" w:sz="4" w:space="0" w:color="auto"/>
            </w:tcBorders>
          </w:tcPr>
          <w:p w14:paraId="5DFA37AD" w14:textId="77777777" w:rsidR="009C12D7" w:rsidRPr="00E10AC2" w:rsidRDefault="009C12D7" w:rsidP="007873DD">
            <w:pPr>
              <w:rPr>
                <w:rFonts w:cstheme="minorHAnsi"/>
              </w:rPr>
            </w:pPr>
            <w:r>
              <w:rPr>
                <w:rFonts w:cstheme="minorHAnsi"/>
              </w:rPr>
              <w:t xml:space="preserve">Sudionici stručnog usavršavanja mogu biti stručnjaci iz područja kulture i umjetnosti koji su </w:t>
            </w:r>
            <w:r w:rsidRPr="00E10AC2">
              <w:rPr>
                <w:rFonts w:cstheme="minorHAnsi"/>
                <w:b/>
              </w:rPr>
              <w:t>zaposlenici</w:t>
            </w:r>
            <w:r>
              <w:rPr>
                <w:rFonts w:cstheme="minorHAnsi"/>
              </w:rPr>
              <w:t xml:space="preserve"> ustanove u kulturi, umjetničke organizacije udruge u području kulture i umjetnosti, zaklade odnosno neprofitne zadruge koja obavlja kulturnu/umjetničku djelatnost ili su članovi Hrvatske zajednice samostalnih umjetnika, odnosno one osobe za koje prijavitelj može osigurati dokaze sukladno točki 1.4 </w:t>
            </w:r>
            <w:r>
              <w:rPr>
                <w:rFonts w:cstheme="minorHAnsi"/>
                <w:i/>
              </w:rPr>
              <w:t xml:space="preserve">Svrha, cilj i ciljne skupine Poziva na dostavu projektnih prijedloga. </w:t>
            </w:r>
            <w:r>
              <w:rPr>
                <w:rFonts w:cstheme="minorHAnsi"/>
              </w:rPr>
              <w:t>Pri tom, nije nužno da su sudionici stručnog usavršavanja zaposlenici prijavitelja/partnera.</w:t>
            </w:r>
          </w:p>
          <w:p w14:paraId="6336BFE3" w14:textId="77777777" w:rsidR="009C12D7" w:rsidRDefault="009C12D7" w:rsidP="007873DD">
            <w:pPr>
              <w:rPr>
                <w:rFonts w:cstheme="minorHAnsi"/>
              </w:rPr>
            </w:pPr>
          </w:p>
          <w:p w14:paraId="466C51B7" w14:textId="77777777" w:rsidR="009C12D7" w:rsidRPr="00FF5A26" w:rsidRDefault="009C12D7" w:rsidP="007873DD">
            <w:pPr>
              <w:rPr>
                <w:rFonts w:cstheme="minorHAnsi"/>
              </w:rPr>
            </w:pPr>
            <w:r>
              <w:rPr>
                <w:rFonts w:cstheme="minorHAnsi"/>
              </w:rPr>
              <w:t>Također, s</w:t>
            </w:r>
            <w:r w:rsidRPr="001D5A29">
              <w:rPr>
                <w:rFonts w:cstheme="minorHAnsi"/>
              </w:rPr>
              <w:t>udionici stručnog usavršavanja mogu biti sam</w:t>
            </w:r>
            <w:r>
              <w:rPr>
                <w:rFonts w:cstheme="minorHAnsi"/>
              </w:rPr>
              <w:t>o one osobe koje</w:t>
            </w:r>
            <w:r w:rsidRPr="001D5A29">
              <w:rPr>
                <w:rFonts w:cstheme="minorHAnsi"/>
              </w:rPr>
              <w:t xml:space="preserve"> će, u okviru projek</w:t>
            </w:r>
            <w:r>
              <w:rPr>
                <w:rFonts w:cstheme="minorHAnsi"/>
              </w:rPr>
              <w:t>tnog prijedloga, biti angažirane</w:t>
            </w:r>
            <w:r w:rsidRPr="001D5A29">
              <w:rPr>
                <w:rFonts w:cstheme="minorHAnsi"/>
              </w:rPr>
              <w:t xml:space="preserve"> na pripremi i provedbi participativnih umjetničkih i kulturnih aktivnosti usmjerenih na socijalno uključivanje osoba starijih od 54 godine. </w:t>
            </w:r>
          </w:p>
        </w:tc>
      </w:tr>
      <w:tr w:rsidR="009C12D7" w:rsidRPr="00FF5A26" w14:paraId="646468D5" w14:textId="77777777" w:rsidTr="007873DD">
        <w:tc>
          <w:tcPr>
            <w:tcW w:w="704" w:type="dxa"/>
          </w:tcPr>
          <w:p w14:paraId="2278FF2C" w14:textId="77777777" w:rsidR="009C12D7" w:rsidRPr="007308FE" w:rsidRDefault="009C12D7" w:rsidP="007873DD">
            <w:pPr>
              <w:pStyle w:val="ListParagraph"/>
              <w:numPr>
                <w:ilvl w:val="0"/>
                <w:numId w:val="3"/>
              </w:numPr>
              <w:rPr>
                <w:rFonts w:cstheme="minorHAnsi"/>
              </w:rPr>
            </w:pPr>
          </w:p>
        </w:tc>
        <w:tc>
          <w:tcPr>
            <w:tcW w:w="4819" w:type="dxa"/>
            <w:tcBorders>
              <w:top w:val="single" w:sz="4" w:space="0" w:color="auto"/>
              <w:left w:val="single" w:sz="4" w:space="0" w:color="auto"/>
              <w:bottom w:val="single" w:sz="4" w:space="0" w:color="auto"/>
              <w:right w:val="single" w:sz="4" w:space="0" w:color="auto"/>
            </w:tcBorders>
          </w:tcPr>
          <w:p w14:paraId="16E20E88" w14:textId="77777777" w:rsidR="009C12D7" w:rsidRPr="00FF5A26" w:rsidRDefault="009C12D7" w:rsidP="007873DD">
            <w:pPr>
              <w:rPr>
                <w:rFonts w:cstheme="minorHAnsi"/>
              </w:rPr>
            </w:pPr>
            <w:r w:rsidRPr="0082668B">
              <w:rPr>
                <w:rFonts w:cstheme="minorHAnsi"/>
              </w:rPr>
              <w:t>Trebaju li imena sudionika aktivnosti stručnog osposobljavanja biti poz</w:t>
            </w:r>
            <w:r w:rsidRPr="00726B63">
              <w:rPr>
                <w:rFonts w:cstheme="minorHAnsi"/>
              </w:rPr>
              <w:t>nata u trenutku prijave projektnog prijedloga?</w:t>
            </w:r>
          </w:p>
        </w:tc>
        <w:tc>
          <w:tcPr>
            <w:tcW w:w="4820" w:type="dxa"/>
            <w:tcBorders>
              <w:top w:val="single" w:sz="4" w:space="0" w:color="auto"/>
              <w:left w:val="single" w:sz="4" w:space="0" w:color="auto"/>
              <w:bottom w:val="single" w:sz="4" w:space="0" w:color="auto"/>
              <w:right w:val="single" w:sz="4" w:space="0" w:color="auto"/>
            </w:tcBorders>
          </w:tcPr>
          <w:p w14:paraId="79543F2F" w14:textId="77777777" w:rsidR="009C12D7" w:rsidRDefault="009C12D7" w:rsidP="007873DD">
            <w:r>
              <w:t xml:space="preserve">Prijavitelj je dužan, u Prijavnom obrascu B, točka 1.1 kvantitativno i kvalitativno opisati ciljanu/e skupinu/e svog projektnog prijedloga i pri tom nije dužan navoditi imena sudionika. </w:t>
            </w:r>
          </w:p>
          <w:p w14:paraId="3008EEBA" w14:textId="77777777" w:rsidR="009C12D7" w:rsidRDefault="009C12D7" w:rsidP="007873DD">
            <w:r>
              <w:t xml:space="preserve">S obzirom na to da sudionici stručnog usavršavanja mogu biti samo oni pripadnici ciljne skupine „stručnjaci iz područja kulture i umjetnosti“ koji će biti angažirani na pripremi i provedbi participativnih umjetničkih i kulturnih aktivnosti usmjerenih na socijalno uključivanje osoba starijih od 54 godine, imena i reference onih stručnjaka koji su ključni članovi projektnog tima trebaju biti navedeni u točki 2.1 </w:t>
            </w:r>
            <w:r w:rsidRPr="007031E6">
              <w:rPr>
                <w:i/>
              </w:rPr>
              <w:t xml:space="preserve"> Projektni tim</w:t>
            </w:r>
            <w:r>
              <w:rPr>
                <w:i/>
              </w:rPr>
              <w:t>,</w:t>
            </w:r>
            <w:r w:rsidRPr="007031E6">
              <w:rPr>
                <w:i/>
              </w:rPr>
              <w:t xml:space="preserve"> </w:t>
            </w:r>
            <w:r>
              <w:t xml:space="preserve">Prijavnog obrasca B. </w:t>
            </w:r>
          </w:p>
          <w:p w14:paraId="61BB2AC3" w14:textId="77777777" w:rsidR="009C12D7" w:rsidRPr="00FF5A26" w:rsidRDefault="009C12D7" w:rsidP="007873DD">
            <w:pPr>
              <w:rPr>
                <w:rFonts w:cstheme="minorHAnsi"/>
              </w:rPr>
            </w:pPr>
            <w:r w:rsidRPr="000E3ECB">
              <w:t xml:space="preserve">Sudionici stručnog usavršavanja mogu biti i osobe koje nisu ključni članovi projektnog tima, pod uvjetom da provode participativne projektne aktivnosti za osobe starije od 54 godine, da je jasno obrazložena relevantnost stručnog usavršavanja za provedbu navedenih aktivnosti  te da je za te osobe moguće osigurati dokaz o pripadnosti ciljnoj skupini sukladno točki 1.4 </w:t>
            </w:r>
            <w:r w:rsidRPr="000E3ECB">
              <w:rPr>
                <w:i/>
              </w:rPr>
              <w:t xml:space="preserve">Svrha, cilj i ciljne skupine Poziva </w:t>
            </w:r>
            <w:r w:rsidRPr="000E3ECB">
              <w:t>Uputa za prijavitelje.</w:t>
            </w:r>
            <w:r>
              <w:t xml:space="preserve"> </w:t>
            </w:r>
          </w:p>
        </w:tc>
      </w:tr>
      <w:tr w:rsidR="009C12D7" w:rsidRPr="00FF5A26" w14:paraId="00393732" w14:textId="77777777" w:rsidTr="007873DD">
        <w:tc>
          <w:tcPr>
            <w:tcW w:w="704" w:type="dxa"/>
          </w:tcPr>
          <w:p w14:paraId="7B16A617" w14:textId="77777777" w:rsidR="009C12D7" w:rsidRPr="007308FE" w:rsidRDefault="009C12D7" w:rsidP="007873DD">
            <w:pPr>
              <w:pStyle w:val="ListParagraph"/>
              <w:numPr>
                <w:ilvl w:val="0"/>
                <w:numId w:val="3"/>
              </w:numPr>
              <w:rPr>
                <w:rFonts w:cstheme="minorHAnsi"/>
              </w:rPr>
            </w:pPr>
          </w:p>
        </w:tc>
        <w:tc>
          <w:tcPr>
            <w:tcW w:w="4819" w:type="dxa"/>
            <w:tcBorders>
              <w:top w:val="single" w:sz="4" w:space="0" w:color="auto"/>
              <w:left w:val="single" w:sz="4" w:space="0" w:color="auto"/>
              <w:bottom w:val="single" w:sz="4" w:space="0" w:color="auto"/>
              <w:right w:val="single" w:sz="4" w:space="0" w:color="auto"/>
            </w:tcBorders>
          </w:tcPr>
          <w:p w14:paraId="2EEEC415" w14:textId="77777777" w:rsidR="009C12D7" w:rsidRPr="00FF5A26" w:rsidRDefault="009C12D7" w:rsidP="007873DD">
            <w:pPr>
              <w:rPr>
                <w:rFonts w:cstheme="minorHAnsi"/>
              </w:rPr>
            </w:pPr>
            <w:r>
              <w:rPr>
                <w:rFonts w:cstheme="minorHAnsi"/>
              </w:rPr>
              <w:t>Trebaju li provoditelji kulturnih-umjetničkih aktivnosti za osobe starije od 54 godine biti članovi Hrvatske zajednice</w:t>
            </w:r>
            <w:r w:rsidRPr="002924AF">
              <w:rPr>
                <w:rFonts w:cstheme="minorHAnsi"/>
              </w:rPr>
              <w:t xml:space="preserve"> samostalnih umjetnika</w:t>
            </w:r>
            <w:r>
              <w:rPr>
                <w:rFonts w:cstheme="minorHAnsi"/>
              </w:rPr>
              <w:t>?</w:t>
            </w:r>
          </w:p>
        </w:tc>
        <w:tc>
          <w:tcPr>
            <w:tcW w:w="4820" w:type="dxa"/>
            <w:tcBorders>
              <w:top w:val="single" w:sz="4" w:space="0" w:color="auto"/>
              <w:left w:val="single" w:sz="4" w:space="0" w:color="auto"/>
              <w:bottom w:val="single" w:sz="4" w:space="0" w:color="auto"/>
              <w:right w:val="single" w:sz="4" w:space="0" w:color="auto"/>
            </w:tcBorders>
          </w:tcPr>
          <w:p w14:paraId="18E519B2" w14:textId="77777777" w:rsidR="009C12D7" w:rsidRDefault="009C12D7" w:rsidP="007873DD">
            <w:pPr>
              <w:rPr>
                <w:rFonts w:cstheme="minorHAnsi"/>
              </w:rPr>
            </w:pPr>
            <w:r w:rsidRPr="00B92CC7">
              <w:rPr>
                <w:rFonts w:cstheme="minorHAnsi"/>
              </w:rPr>
              <w:t>N</w:t>
            </w:r>
            <w:r>
              <w:rPr>
                <w:rFonts w:cstheme="minorHAnsi"/>
              </w:rPr>
              <w:t xml:space="preserve">ije nužno da su provoditelji kulturnih i </w:t>
            </w:r>
            <w:r w:rsidRPr="006B220F">
              <w:rPr>
                <w:rFonts w:cstheme="minorHAnsi"/>
              </w:rPr>
              <w:t xml:space="preserve">umjetničkih aktivnosti za osobe starije od 54 godine </w:t>
            </w:r>
            <w:r>
              <w:rPr>
                <w:rFonts w:cstheme="minorHAnsi"/>
              </w:rPr>
              <w:t>članovi Hrvatske zajednice samostalnih umjetnika.</w:t>
            </w:r>
          </w:p>
          <w:p w14:paraId="281780C1" w14:textId="77777777" w:rsidR="009C12D7" w:rsidRDefault="009C12D7" w:rsidP="007873DD">
            <w:pPr>
              <w:rPr>
                <w:rFonts w:cstheme="minorHAnsi"/>
              </w:rPr>
            </w:pPr>
            <w:r>
              <w:rPr>
                <w:rFonts w:cstheme="minorHAnsi"/>
              </w:rPr>
              <w:t xml:space="preserve">Provoditelji moraju biti osobe </w:t>
            </w:r>
            <w:r w:rsidRPr="006B220F">
              <w:rPr>
                <w:rFonts w:cstheme="minorHAnsi"/>
              </w:rPr>
              <w:t xml:space="preserve">odgovarajućih umjetničkih </w:t>
            </w:r>
            <w:r>
              <w:rPr>
                <w:rFonts w:cstheme="minorHAnsi"/>
              </w:rPr>
              <w:t>i/ili ostalih stručnih kompetencija.</w:t>
            </w:r>
          </w:p>
          <w:p w14:paraId="28B343B5" w14:textId="77777777" w:rsidR="009C12D7" w:rsidRPr="00B92CC7" w:rsidRDefault="009C12D7" w:rsidP="007873DD">
            <w:pPr>
              <w:rPr>
                <w:rFonts w:cstheme="minorHAnsi"/>
              </w:rPr>
            </w:pPr>
          </w:p>
        </w:tc>
      </w:tr>
      <w:tr w:rsidR="009C12D7" w:rsidRPr="00FF5A26" w14:paraId="38B6F7DF" w14:textId="77777777" w:rsidTr="007873DD">
        <w:tc>
          <w:tcPr>
            <w:tcW w:w="704" w:type="dxa"/>
          </w:tcPr>
          <w:p w14:paraId="2E0734BC" w14:textId="77777777" w:rsidR="009C12D7" w:rsidRPr="007308FE" w:rsidRDefault="009C12D7" w:rsidP="007873DD">
            <w:pPr>
              <w:pStyle w:val="ListParagraph"/>
              <w:numPr>
                <w:ilvl w:val="0"/>
                <w:numId w:val="3"/>
              </w:numPr>
              <w:rPr>
                <w:rFonts w:cstheme="minorHAnsi"/>
              </w:rPr>
            </w:pPr>
          </w:p>
        </w:tc>
        <w:tc>
          <w:tcPr>
            <w:tcW w:w="4819" w:type="dxa"/>
            <w:tcBorders>
              <w:top w:val="single" w:sz="4" w:space="0" w:color="auto"/>
              <w:left w:val="single" w:sz="4" w:space="0" w:color="auto"/>
              <w:bottom w:val="single" w:sz="4" w:space="0" w:color="auto"/>
              <w:right w:val="single" w:sz="4" w:space="0" w:color="auto"/>
            </w:tcBorders>
          </w:tcPr>
          <w:p w14:paraId="657ED348" w14:textId="77777777" w:rsidR="009C12D7" w:rsidRPr="00FF5A26" w:rsidRDefault="009C12D7" w:rsidP="007873DD">
            <w:pPr>
              <w:rPr>
                <w:rFonts w:cstheme="minorHAnsi"/>
              </w:rPr>
            </w:pPr>
            <w:r>
              <w:rPr>
                <w:rFonts w:cstheme="minorHAnsi"/>
              </w:rPr>
              <w:t>S obzirom na to da je na prethodnom natječaju Ministarstva kulture, „Umjetnost i kultura za mlade“, produžen rok za dostavu projektnih prijedloga, planira li se isto i za ovaj natječaj?</w:t>
            </w:r>
          </w:p>
        </w:tc>
        <w:tc>
          <w:tcPr>
            <w:tcW w:w="4820" w:type="dxa"/>
            <w:tcBorders>
              <w:top w:val="single" w:sz="4" w:space="0" w:color="auto"/>
              <w:left w:val="single" w:sz="4" w:space="0" w:color="auto"/>
              <w:bottom w:val="single" w:sz="4" w:space="0" w:color="auto"/>
              <w:right w:val="single" w:sz="4" w:space="0" w:color="auto"/>
            </w:tcBorders>
          </w:tcPr>
          <w:p w14:paraId="4D7C6838" w14:textId="77777777" w:rsidR="009C12D7" w:rsidRPr="00B92CC7" w:rsidRDefault="009C12D7" w:rsidP="007873DD">
            <w:pPr>
              <w:rPr>
                <w:rFonts w:cstheme="minorHAnsi"/>
              </w:rPr>
            </w:pPr>
            <w:r w:rsidRPr="001E330D">
              <w:rPr>
                <w:rFonts w:cstheme="minorHAnsi"/>
              </w:rPr>
              <w:t xml:space="preserve">Za Poziv „Umjetnost i kultura 54+“ </w:t>
            </w:r>
            <w:r>
              <w:rPr>
                <w:rFonts w:cstheme="minorHAnsi"/>
              </w:rPr>
              <w:t>nije</w:t>
            </w:r>
            <w:r w:rsidRPr="001E330D">
              <w:rPr>
                <w:rFonts w:cstheme="minorHAnsi"/>
              </w:rPr>
              <w:t xml:space="preserve"> planirano produženje roka za dostavu projektnih prijedloga, niti značajna izmjena natječajne dokumentacije.</w:t>
            </w:r>
          </w:p>
        </w:tc>
      </w:tr>
      <w:tr w:rsidR="009C12D7" w:rsidRPr="00FF5A26" w14:paraId="649C9497" w14:textId="77777777" w:rsidTr="007873DD">
        <w:tc>
          <w:tcPr>
            <w:tcW w:w="704" w:type="dxa"/>
          </w:tcPr>
          <w:p w14:paraId="5E500372" w14:textId="77777777" w:rsidR="009C12D7" w:rsidRPr="007308FE" w:rsidRDefault="009C12D7" w:rsidP="007873DD">
            <w:pPr>
              <w:pStyle w:val="ListParagraph"/>
              <w:numPr>
                <w:ilvl w:val="0"/>
                <w:numId w:val="3"/>
              </w:numPr>
              <w:rPr>
                <w:rFonts w:cstheme="minorHAnsi"/>
              </w:rPr>
            </w:pPr>
          </w:p>
        </w:tc>
        <w:tc>
          <w:tcPr>
            <w:tcW w:w="4819" w:type="dxa"/>
            <w:tcBorders>
              <w:top w:val="single" w:sz="4" w:space="0" w:color="auto"/>
              <w:left w:val="single" w:sz="4" w:space="0" w:color="auto"/>
              <w:bottom w:val="single" w:sz="4" w:space="0" w:color="auto"/>
              <w:right w:val="single" w:sz="4" w:space="0" w:color="auto"/>
            </w:tcBorders>
          </w:tcPr>
          <w:p w14:paraId="3EA119A9" w14:textId="77777777" w:rsidR="009C12D7" w:rsidRPr="00FF5A26" w:rsidRDefault="009C12D7" w:rsidP="007873DD">
            <w:pPr>
              <w:rPr>
                <w:rFonts w:cstheme="minorHAnsi"/>
              </w:rPr>
            </w:pPr>
            <w:r>
              <w:rPr>
                <w:rFonts w:cstheme="minorHAnsi"/>
              </w:rPr>
              <w:t>Koji je indikativni datum sklapanja govora o dodjeli bespovratnih sredstava?</w:t>
            </w:r>
          </w:p>
        </w:tc>
        <w:tc>
          <w:tcPr>
            <w:tcW w:w="4820" w:type="dxa"/>
            <w:tcBorders>
              <w:top w:val="single" w:sz="4" w:space="0" w:color="auto"/>
              <w:left w:val="single" w:sz="4" w:space="0" w:color="auto"/>
              <w:bottom w:val="single" w:sz="4" w:space="0" w:color="auto"/>
              <w:right w:val="single" w:sz="4" w:space="0" w:color="auto"/>
            </w:tcBorders>
          </w:tcPr>
          <w:p w14:paraId="45623BCA" w14:textId="77777777" w:rsidR="009C12D7" w:rsidRPr="00FF5A26" w:rsidRDefault="009C12D7" w:rsidP="007873DD">
            <w:pPr>
              <w:rPr>
                <w:rFonts w:cstheme="minorHAnsi"/>
              </w:rPr>
            </w:pPr>
            <w:r>
              <w:rPr>
                <w:rFonts w:cstheme="minorHAnsi"/>
              </w:rPr>
              <w:t>Okvirni termin ugovaranja projekata u okviru ovog Poziva je siječanj 2018. godine.</w:t>
            </w:r>
          </w:p>
        </w:tc>
      </w:tr>
      <w:tr w:rsidR="009C12D7" w:rsidRPr="00FF5A26" w14:paraId="3064DC99" w14:textId="77777777" w:rsidTr="007873DD">
        <w:tc>
          <w:tcPr>
            <w:tcW w:w="704" w:type="dxa"/>
          </w:tcPr>
          <w:p w14:paraId="65FD4762" w14:textId="77777777" w:rsidR="009C12D7" w:rsidRPr="007308FE" w:rsidRDefault="009C12D7" w:rsidP="007873DD">
            <w:pPr>
              <w:pStyle w:val="ListParagraph"/>
              <w:numPr>
                <w:ilvl w:val="0"/>
                <w:numId w:val="3"/>
              </w:numPr>
              <w:rPr>
                <w:rFonts w:cstheme="minorHAnsi"/>
              </w:rPr>
            </w:pPr>
          </w:p>
        </w:tc>
        <w:tc>
          <w:tcPr>
            <w:tcW w:w="4819" w:type="dxa"/>
            <w:tcBorders>
              <w:top w:val="single" w:sz="4" w:space="0" w:color="auto"/>
              <w:left w:val="single" w:sz="4" w:space="0" w:color="auto"/>
              <w:bottom w:val="single" w:sz="4" w:space="0" w:color="auto"/>
              <w:right w:val="single" w:sz="4" w:space="0" w:color="auto"/>
            </w:tcBorders>
          </w:tcPr>
          <w:p w14:paraId="40A87556" w14:textId="77777777" w:rsidR="009C12D7" w:rsidRPr="00FF5A26" w:rsidRDefault="009C12D7" w:rsidP="007873DD">
            <w:pPr>
              <w:rPr>
                <w:rFonts w:cstheme="minorHAnsi"/>
              </w:rPr>
            </w:pPr>
            <w:r>
              <w:rPr>
                <w:rFonts w:cstheme="minorHAnsi"/>
              </w:rPr>
              <w:t>Mora li udruga imati zaposlene osobe kako bi dokazala svoj financijski i operativni kapacitet, ili može ostvariti dostatan broj bodova na temelju operativnih i financijskih kapaciteta partnera?</w:t>
            </w:r>
          </w:p>
        </w:tc>
        <w:tc>
          <w:tcPr>
            <w:tcW w:w="4820" w:type="dxa"/>
            <w:tcBorders>
              <w:top w:val="single" w:sz="4" w:space="0" w:color="auto"/>
              <w:left w:val="single" w:sz="4" w:space="0" w:color="auto"/>
              <w:bottom w:val="single" w:sz="4" w:space="0" w:color="auto"/>
              <w:right w:val="single" w:sz="4" w:space="0" w:color="auto"/>
            </w:tcBorders>
          </w:tcPr>
          <w:p w14:paraId="19AA2BF4" w14:textId="77777777" w:rsidR="009C12D7" w:rsidRPr="009571BD" w:rsidRDefault="009C12D7" w:rsidP="007873DD">
            <w:pPr>
              <w:rPr>
                <w:rFonts w:cstheme="minorHAnsi"/>
              </w:rPr>
            </w:pPr>
            <w:r w:rsidRPr="000E3ECB">
              <w:rPr>
                <w:rFonts w:cstheme="minorHAnsi"/>
              </w:rPr>
              <w:t xml:space="preserve">U okviru kriterija dodjele 3.1 </w:t>
            </w:r>
            <w:r w:rsidRPr="000E3ECB">
              <w:rPr>
                <w:rFonts w:cstheme="minorHAnsi"/>
                <w:i/>
              </w:rPr>
              <w:t>Upravljačko-administrativni, financijski i stručni kapaciteti za provedbu projekta</w:t>
            </w:r>
            <w:r w:rsidRPr="000E3ECB">
              <w:rPr>
                <w:rFonts w:cstheme="minorHAnsi"/>
              </w:rPr>
              <w:t xml:space="preserve"> navedenom u točki 6.2 </w:t>
            </w:r>
            <w:r w:rsidRPr="000E3ECB">
              <w:rPr>
                <w:rFonts w:cstheme="minorHAnsi"/>
                <w:i/>
              </w:rPr>
              <w:t>Procjena kvalitete</w:t>
            </w:r>
            <w:r w:rsidRPr="000E3ECB">
              <w:rPr>
                <w:rFonts w:cstheme="minorHAnsi"/>
              </w:rPr>
              <w:t xml:space="preserve"> Uputa za prijavitelje, u obzir se uzimaju zajednički kapaciteti i odgovarajuća stručnost prijavitelja i svih partnera na projektnom prijedlogu.</w:t>
            </w:r>
          </w:p>
        </w:tc>
      </w:tr>
      <w:tr w:rsidR="009C12D7" w:rsidRPr="00FF5A26" w14:paraId="3C299B17" w14:textId="77777777" w:rsidTr="007873DD">
        <w:tc>
          <w:tcPr>
            <w:tcW w:w="704" w:type="dxa"/>
          </w:tcPr>
          <w:p w14:paraId="286FB2D3" w14:textId="77777777" w:rsidR="009C12D7" w:rsidRPr="007308FE" w:rsidRDefault="009C12D7" w:rsidP="007873DD">
            <w:pPr>
              <w:pStyle w:val="ListParagraph"/>
              <w:numPr>
                <w:ilvl w:val="0"/>
                <w:numId w:val="3"/>
              </w:numPr>
              <w:rPr>
                <w:rFonts w:cstheme="minorHAnsi"/>
              </w:rPr>
            </w:pPr>
          </w:p>
        </w:tc>
        <w:tc>
          <w:tcPr>
            <w:tcW w:w="4819" w:type="dxa"/>
            <w:tcBorders>
              <w:top w:val="single" w:sz="4" w:space="0" w:color="auto"/>
              <w:left w:val="single" w:sz="4" w:space="0" w:color="auto"/>
              <w:bottom w:val="single" w:sz="4" w:space="0" w:color="auto"/>
              <w:right w:val="single" w:sz="4" w:space="0" w:color="auto"/>
            </w:tcBorders>
          </w:tcPr>
          <w:p w14:paraId="602C08F0" w14:textId="77777777" w:rsidR="009C12D7" w:rsidRDefault="009C12D7" w:rsidP="007873DD">
            <w:pPr>
              <w:rPr>
                <w:rFonts w:cstheme="minorHAnsi"/>
              </w:rPr>
            </w:pPr>
            <w:r>
              <w:rPr>
                <w:rFonts w:cstheme="minorHAnsi"/>
              </w:rPr>
              <w:t>Kako se prijavitelju, ustanovi kojoj je osnivač jedinica lokalne ili područne (regionalne samouprave) vrše isplate tijekom provedbe projekta?</w:t>
            </w:r>
          </w:p>
        </w:tc>
        <w:tc>
          <w:tcPr>
            <w:tcW w:w="4820" w:type="dxa"/>
            <w:tcBorders>
              <w:top w:val="single" w:sz="4" w:space="0" w:color="auto"/>
              <w:left w:val="single" w:sz="4" w:space="0" w:color="auto"/>
              <w:bottom w:val="single" w:sz="4" w:space="0" w:color="auto"/>
              <w:right w:val="single" w:sz="4" w:space="0" w:color="auto"/>
            </w:tcBorders>
          </w:tcPr>
          <w:p w14:paraId="145FD98C" w14:textId="77777777" w:rsidR="009C12D7" w:rsidRPr="00FF5A26" w:rsidRDefault="009C12D7" w:rsidP="007873DD">
            <w:pPr>
              <w:rPr>
                <w:rFonts w:cstheme="minorHAnsi"/>
              </w:rPr>
            </w:pPr>
            <w:r>
              <w:rPr>
                <w:rFonts w:cstheme="minorHAnsi"/>
              </w:rPr>
              <w:t>Isplata predujma nije moguća samo p</w:t>
            </w:r>
            <w:r w:rsidRPr="00F70CC4">
              <w:rPr>
                <w:rFonts w:cstheme="minorHAnsi"/>
              </w:rPr>
              <w:t xml:space="preserve">roračunskim i izvanproračunskim korisnicima Državnog proračuna, </w:t>
            </w:r>
            <w:r w:rsidRPr="00E12328">
              <w:rPr>
                <w:rFonts w:cstheme="minorHAnsi"/>
              </w:rPr>
              <w:t>a koji su ujedno korisnici unutar sustava državne riznice.</w:t>
            </w:r>
            <w:r w:rsidRPr="00F70CC4">
              <w:rPr>
                <w:rFonts w:cstheme="minorHAnsi"/>
              </w:rPr>
              <w:t xml:space="preserve"> Navedeni korisnici, u skladu s Uputom o izradi prijedloga Državnog proračuna, obvezni su u svom financijskom planu planirati odgovarajuću aktivnost za Operativni Program (OP) i rashode iz odgovarajućih izvora financiranja. </w:t>
            </w:r>
          </w:p>
        </w:tc>
      </w:tr>
      <w:tr w:rsidR="009C12D7" w:rsidRPr="00FF5A26" w14:paraId="4CFAD1F4" w14:textId="77777777" w:rsidTr="007873DD">
        <w:tc>
          <w:tcPr>
            <w:tcW w:w="704" w:type="dxa"/>
          </w:tcPr>
          <w:p w14:paraId="232F82EB" w14:textId="77777777" w:rsidR="009C12D7" w:rsidRPr="007308FE" w:rsidRDefault="009C12D7" w:rsidP="007873DD">
            <w:pPr>
              <w:pStyle w:val="ListParagraph"/>
              <w:numPr>
                <w:ilvl w:val="0"/>
                <w:numId w:val="3"/>
              </w:numPr>
              <w:rPr>
                <w:rFonts w:cstheme="minorHAnsi"/>
              </w:rPr>
            </w:pPr>
          </w:p>
        </w:tc>
        <w:tc>
          <w:tcPr>
            <w:tcW w:w="4819" w:type="dxa"/>
            <w:tcBorders>
              <w:top w:val="single" w:sz="4" w:space="0" w:color="auto"/>
              <w:left w:val="single" w:sz="4" w:space="0" w:color="auto"/>
              <w:bottom w:val="single" w:sz="4" w:space="0" w:color="auto"/>
              <w:right w:val="single" w:sz="4" w:space="0" w:color="auto"/>
            </w:tcBorders>
          </w:tcPr>
          <w:p w14:paraId="70BE48BC" w14:textId="77777777" w:rsidR="009C12D7" w:rsidRPr="00FF5A26" w:rsidRDefault="009C12D7" w:rsidP="007873DD">
            <w:pPr>
              <w:rPr>
                <w:rFonts w:cstheme="minorHAnsi"/>
              </w:rPr>
            </w:pPr>
            <w:r>
              <w:rPr>
                <w:rFonts w:cstheme="minorHAnsi"/>
              </w:rPr>
              <w:t>Ima li udruga koja se financira iz proračuna jedinice lokalne samouprave pravo na isplatu predujma?</w:t>
            </w:r>
          </w:p>
        </w:tc>
        <w:tc>
          <w:tcPr>
            <w:tcW w:w="4820" w:type="dxa"/>
            <w:tcBorders>
              <w:top w:val="single" w:sz="4" w:space="0" w:color="auto"/>
              <w:left w:val="single" w:sz="4" w:space="0" w:color="auto"/>
              <w:bottom w:val="single" w:sz="4" w:space="0" w:color="auto"/>
              <w:right w:val="single" w:sz="4" w:space="0" w:color="auto"/>
            </w:tcBorders>
          </w:tcPr>
          <w:p w14:paraId="4EF94C8E" w14:textId="77777777" w:rsidR="009C12D7" w:rsidRPr="00FF5A26" w:rsidRDefault="009C12D7" w:rsidP="007873DD">
            <w:pPr>
              <w:rPr>
                <w:rFonts w:cstheme="minorHAnsi"/>
              </w:rPr>
            </w:pPr>
            <w:r>
              <w:rPr>
                <w:rFonts w:cstheme="minorHAnsi"/>
              </w:rPr>
              <w:t xml:space="preserve">Pravo na isplatu predujma imaju oni prihvatljivi prijavitelji koji </w:t>
            </w:r>
            <w:r w:rsidRPr="00275D3C">
              <w:rPr>
                <w:rFonts w:cstheme="minorHAnsi"/>
                <w:b/>
              </w:rPr>
              <w:t>nisu</w:t>
            </w:r>
            <w:r w:rsidRPr="00275D3C">
              <w:rPr>
                <w:b/>
              </w:rPr>
              <w:t xml:space="preserve"> </w:t>
            </w:r>
            <w:r>
              <w:rPr>
                <w:rFonts w:cstheme="minorHAnsi"/>
              </w:rPr>
              <w:t>proračunski i izvanproračunski</w:t>
            </w:r>
            <w:r w:rsidRPr="00726B63">
              <w:rPr>
                <w:rFonts w:cstheme="minorHAnsi"/>
              </w:rPr>
              <w:t xml:space="preserve"> k</w:t>
            </w:r>
            <w:r>
              <w:rPr>
                <w:rFonts w:cstheme="minorHAnsi"/>
              </w:rPr>
              <w:t>orisnicima Državnog proračuna,</w:t>
            </w:r>
            <w:r w:rsidRPr="00726B63">
              <w:rPr>
                <w:rFonts w:cstheme="minorHAnsi"/>
              </w:rPr>
              <w:t xml:space="preserve"> </w:t>
            </w:r>
            <w:r>
              <w:rPr>
                <w:rFonts w:cstheme="minorHAnsi"/>
              </w:rPr>
              <w:t xml:space="preserve">a </w:t>
            </w:r>
            <w:r w:rsidRPr="00726B63">
              <w:rPr>
                <w:rFonts w:cstheme="minorHAnsi"/>
              </w:rPr>
              <w:t>koji su ujedno korisnici unutar sustava državne riznice</w:t>
            </w:r>
            <w:r>
              <w:rPr>
                <w:rFonts w:cstheme="minorHAnsi"/>
              </w:rPr>
              <w:t xml:space="preserve">.  </w:t>
            </w:r>
          </w:p>
        </w:tc>
      </w:tr>
    </w:tbl>
    <w:p w14:paraId="6EDBBC0E" w14:textId="77777777" w:rsidR="004A2438" w:rsidRPr="00FF5A26" w:rsidRDefault="009C12D7">
      <w:pPr>
        <w:rPr>
          <w:rFonts w:cstheme="minorHAnsi"/>
        </w:rPr>
      </w:pPr>
    </w:p>
    <w:sectPr w:rsidR="004A2438" w:rsidRPr="00FF5A26" w:rsidSect="00A67D37">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20DF8"/>
    <w:multiLevelType w:val="hybridMultilevel"/>
    <w:tmpl w:val="66F653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EF91D78"/>
    <w:multiLevelType w:val="hybridMultilevel"/>
    <w:tmpl w:val="68A86A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6097FE6"/>
    <w:multiLevelType w:val="hybridMultilevel"/>
    <w:tmpl w:val="B9DCD5E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823"/>
    <w:rsid w:val="0000314B"/>
    <w:rsid w:val="00014983"/>
    <w:rsid w:val="00027D9E"/>
    <w:rsid w:val="00044F06"/>
    <w:rsid w:val="00061559"/>
    <w:rsid w:val="00071379"/>
    <w:rsid w:val="00080113"/>
    <w:rsid w:val="00090D1B"/>
    <w:rsid w:val="000C61A3"/>
    <w:rsid w:val="000C6A22"/>
    <w:rsid w:val="000D520B"/>
    <w:rsid w:val="000E3ECB"/>
    <w:rsid w:val="00107C1E"/>
    <w:rsid w:val="00127CD7"/>
    <w:rsid w:val="001321FE"/>
    <w:rsid w:val="00144A95"/>
    <w:rsid w:val="0018188C"/>
    <w:rsid w:val="00182C3F"/>
    <w:rsid w:val="001B1023"/>
    <w:rsid w:val="001D1486"/>
    <w:rsid w:val="001D14BC"/>
    <w:rsid w:val="001D158D"/>
    <w:rsid w:val="001D5A29"/>
    <w:rsid w:val="001D5B3F"/>
    <w:rsid w:val="001E330D"/>
    <w:rsid w:val="00205303"/>
    <w:rsid w:val="00220999"/>
    <w:rsid w:val="002322C8"/>
    <w:rsid w:val="0024691D"/>
    <w:rsid w:val="00246ED5"/>
    <w:rsid w:val="002478C7"/>
    <w:rsid w:val="00265F08"/>
    <w:rsid w:val="002670F1"/>
    <w:rsid w:val="00275D3C"/>
    <w:rsid w:val="00286CBF"/>
    <w:rsid w:val="002924AF"/>
    <w:rsid w:val="002933AF"/>
    <w:rsid w:val="002B4E8A"/>
    <w:rsid w:val="002C2A66"/>
    <w:rsid w:val="002C6199"/>
    <w:rsid w:val="002F5C82"/>
    <w:rsid w:val="0032392C"/>
    <w:rsid w:val="00350FB0"/>
    <w:rsid w:val="00353D1F"/>
    <w:rsid w:val="00386F97"/>
    <w:rsid w:val="003920FF"/>
    <w:rsid w:val="003964DE"/>
    <w:rsid w:val="003B2F09"/>
    <w:rsid w:val="003B5170"/>
    <w:rsid w:val="003F3D07"/>
    <w:rsid w:val="00436611"/>
    <w:rsid w:val="00442C14"/>
    <w:rsid w:val="00446C8F"/>
    <w:rsid w:val="00454238"/>
    <w:rsid w:val="004557A8"/>
    <w:rsid w:val="00462F5F"/>
    <w:rsid w:val="00466D14"/>
    <w:rsid w:val="004811A9"/>
    <w:rsid w:val="00496301"/>
    <w:rsid w:val="004C4C47"/>
    <w:rsid w:val="004E127C"/>
    <w:rsid w:val="004E70AC"/>
    <w:rsid w:val="004F1EE8"/>
    <w:rsid w:val="00507AC8"/>
    <w:rsid w:val="00516187"/>
    <w:rsid w:val="005357E6"/>
    <w:rsid w:val="005374C8"/>
    <w:rsid w:val="005408C6"/>
    <w:rsid w:val="005556D9"/>
    <w:rsid w:val="00573216"/>
    <w:rsid w:val="005856C4"/>
    <w:rsid w:val="00590B21"/>
    <w:rsid w:val="00591F5A"/>
    <w:rsid w:val="005F5816"/>
    <w:rsid w:val="006416E6"/>
    <w:rsid w:val="00645E1D"/>
    <w:rsid w:val="0067465F"/>
    <w:rsid w:val="00692445"/>
    <w:rsid w:val="006B220F"/>
    <w:rsid w:val="006B66EC"/>
    <w:rsid w:val="006D1795"/>
    <w:rsid w:val="006F42F9"/>
    <w:rsid w:val="006F57EE"/>
    <w:rsid w:val="007031E6"/>
    <w:rsid w:val="00723F24"/>
    <w:rsid w:val="00726B63"/>
    <w:rsid w:val="007308FE"/>
    <w:rsid w:val="0073736B"/>
    <w:rsid w:val="00762CCF"/>
    <w:rsid w:val="00762EEC"/>
    <w:rsid w:val="00766BC8"/>
    <w:rsid w:val="007843AE"/>
    <w:rsid w:val="00792BF6"/>
    <w:rsid w:val="007C3B3B"/>
    <w:rsid w:val="00803F31"/>
    <w:rsid w:val="00806C89"/>
    <w:rsid w:val="0082668B"/>
    <w:rsid w:val="0082781C"/>
    <w:rsid w:val="00831C66"/>
    <w:rsid w:val="00837523"/>
    <w:rsid w:val="0085046B"/>
    <w:rsid w:val="0085742F"/>
    <w:rsid w:val="00871C86"/>
    <w:rsid w:val="00875211"/>
    <w:rsid w:val="008811DE"/>
    <w:rsid w:val="00881546"/>
    <w:rsid w:val="00891666"/>
    <w:rsid w:val="00894C2D"/>
    <w:rsid w:val="008A23F2"/>
    <w:rsid w:val="008A3823"/>
    <w:rsid w:val="008F2270"/>
    <w:rsid w:val="00904A72"/>
    <w:rsid w:val="009571BD"/>
    <w:rsid w:val="0099642F"/>
    <w:rsid w:val="009B2779"/>
    <w:rsid w:val="009C12D7"/>
    <w:rsid w:val="009D05D4"/>
    <w:rsid w:val="009D6000"/>
    <w:rsid w:val="009D646D"/>
    <w:rsid w:val="009D65EE"/>
    <w:rsid w:val="009D6E98"/>
    <w:rsid w:val="009E1B8D"/>
    <w:rsid w:val="009F2C1C"/>
    <w:rsid w:val="00A0267F"/>
    <w:rsid w:val="00A116A7"/>
    <w:rsid w:val="00A25414"/>
    <w:rsid w:val="00A25AD7"/>
    <w:rsid w:val="00A30394"/>
    <w:rsid w:val="00A67D37"/>
    <w:rsid w:val="00A821AB"/>
    <w:rsid w:val="00A9301B"/>
    <w:rsid w:val="00A96CC6"/>
    <w:rsid w:val="00AA149A"/>
    <w:rsid w:val="00AE3ADB"/>
    <w:rsid w:val="00AF424A"/>
    <w:rsid w:val="00B01430"/>
    <w:rsid w:val="00B01458"/>
    <w:rsid w:val="00B03BD8"/>
    <w:rsid w:val="00B05EA9"/>
    <w:rsid w:val="00B31FC9"/>
    <w:rsid w:val="00B359E4"/>
    <w:rsid w:val="00B41CFE"/>
    <w:rsid w:val="00B60E7B"/>
    <w:rsid w:val="00B6417B"/>
    <w:rsid w:val="00B67121"/>
    <w:rsid w:val="00B744A4"/>
    <w:rsid w:val="00B92877"/>
    <w:rsid w:val="00B92CC7"/>
    <w:rsid w:val="00B93ED9"/>
    <w:rsid w:val="00BB5834"/>
    <w:rsid w:val="00BC2DBC"/>
    <w:rsid w:val="00BC5297"/>
    <w:rsid w:val="00BC6B20"/>
    <w:rsid w:val="00BD101D"/>
    <w:rsid w:val="00BD2FCF"/>
    <w:rsid w:val="00BE227F"/>
    <w:rsid w:val="00BE50B7"/>
    <w:rsid w:val="00BF2AAE"/>
    <w:rsid w:val="00C20A2E"/>
    <w:rsid w:val="00C22C6E"/>
    <w:rsid w:val="00C30805"/>
    <w:rsid w:val="00C32D46"/>
    <w:rsid w:val="00C360F3"/>
    <w:rsid w:val="00C6151F"/>
    <w:rsid w:val="00C7156E"/>
    <w:rsid w:val="00C9320A"/>
    <w:rsid w:val="00CA259F"/>
    <w:rsid w:val="00CB22C5"/>
    <w:rsid w:val="00CB49BA"/>
    <w:rsid w:val="00CC4010"/>
    <w:rsid w:val="00CE572D"/>
    <w:rsid w:val="00CF7FAE"/>
    <w:rsid w:val="00D145CE"/>
    <w:rsid w:val="00D146FC"/>
    <w:rsid w:val="00D26EEC"/>
    <w:rsid w:val="00D355D5"/>
    <w:rsid w:val="00D42DDA"/>
    <w:rsid w:val="00D57BC5"/>
    <w:rsid w:val="00D65611"/>
    <w:rsid w:val="00D66F3A"/>
    <w:rsid w:val="00D730EF"/>
    <w:rsid w:val="00D73779"/>
    <w:rsid w:val="00DC6628"/>
    <w:rsid w:val="00DD0937"/>
    <w:rsid w:val="00E033DC"/>
    <w:rsid w:val="00E10AC2"/>
    <w:rsid w:val="00E11097"/>
    <w:rsid w:val="00E12328"/>
    <w:rsid w:val="00E23105"/>
    <w:rsid w:val="00E351A4"/>
    <w:rsid w:val="00E42E3A"/>
    <w:rsid w:val="00E65577"/>
    <w:rsid w:val="00E66196"/>
    <w:rsid w:val="00E66911"/>
    <w:rsid w:val="00E94799"/>
    <w:rsid w:val="00E968D4"/>
    <w:rsid w:val="00EA0BFB"/>
    <w:rsid w:val="00EA40ED"/>
    <w:rsid w:val="00EC4A55"/>
    <w:rsid w:val="00ED34E6"/>
    <w:rsid w:val="00EE490D"/>
    <w:rsid w:val="00EE5CBF"/>
    <w:rsid w:val="00EF2BC3"/>
    <w:rsid w:val="00F01B71"/>
    <w:rsid w:val="00F03982"/>
    <w:rsid w:val="00F138E5"/>
    <w:rsid w:val="00F305F6"/>
    <w:rsid w:val="00F326DA"/>
    <w:rsid w:val="00F356DC"/>
    <w:rsid w:val="00F44549"/>
    <w:rsid w:val="00F57F4A"/>
    <w:rsid w:val="00F61152"/>
    <w:rsid w:val="00F72091"/>
    <w:rsid w:val="00F9493E"/>
    <w:rsid w:val="00FA38A9"/>
    <w:rsid w:val="00FB6DA0"/>
    <w:rsid w:val="00FD0B49"/>
    <w:rsid w:val="00FD3817"/>
    <w:rsid w:val="00FF5A26"/>
    <w:rsid w:val="00FF7A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505BB"/>
  <w15:chartTrackingRefBased/>
  <w15:docId w15:val="{39B874D1-F916-4F26-AE98-61FC57E66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3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2F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F09"/>
    <w:rPr>
      <w:rFonts w:ascii="Segoe UI" w:hAnsi="Segoe UI" w:cs="Segoe UI"/>
      <w:sz w:val="18"/>
      <w:szCs w:val="18"/>
    </w:rPr>
  </w:style>
  <w:style w:type="paragraph" w:styleId="ListParagraph">
    <w:name w:val="List Paragraph"/>
    <w:basedOn w:val="Normal"/>
    <w:uiPriority w:val="34"/>
    <w:qFormat/>
    <w:rsid w:val="003B2F09"/>
    <w:pPr>
      <w:ind w:left="720"/>
      <w:contextualSpacing/>
    </w:pPr>
  </w:style>
  <w:style w:type="character" w:styleId="CommentReference">
    <w:name w:val="annotation reference"/>
    <w:basedOn w:val="DefaultParagraphFont"/>
    <w:uiPriority w:val="99"/>
    <w:semiHidden/>
    <w:unhideWhenUsed/>
    <w:rsid w:val="00EE5CBF"/>
    <w:rPr>
      <w:sz w:val="16"/>
      <w:szCs w:val="16"/>
    </w:rPr>
  </w:style>
  <w:style w:type="paragraph" w:styleId="CommentText">
    <w:name w:val="annotation text"/>
    <w:basedOn w:val="Normal"/>
    <w:link w:val="CommentTextChar"/>
    <w:uiPriority w:val="99"/>
    <w:unhideWhenUsed/>
    <w:rsid w:val="00EE5CBF"/>
    <w:pPr>
      <w:spacing w:line="240" w:lineRule="auto"/>
    </w:pPr>
    <w:rPr>
      <w:sz w:val="20"/>
      <w:szCs w:val="20"/>
    </w:rPr>
  </w:style>
  <w:style w:type="character" w:customStyle="1" w:styleId="CommentTextChar">
    <w:name w:val="Comment Text Char"/>
    <w:basedOn w:val="DefaultParagraphFont"/>
    <w:link w:val="CommentText"/>
    <w:uiPriority w:val="99"/>
    <w:rsid w:val="00EE5CBF"/>
    <w:rPr>
      <w:sz w:val="20"/>
      <w:szCs w:val="20"/>
    </w:rPr>
  </w:style>
  <w:style w:type="paragraph" w:styleId="CommentSubject">
    <w:name w:val="annotation subject"/>
    <w:basedOn w:val="CommentText"/>
    <w:next w:val="CommentText"/>
    <w:link w:val="CommentSubjectChar"/>
    <w:uiPriority w:val="99"/>
    <w:semiHidden/>
    <w:unhideWhenUsed/>
    <w:rsid w:val="00EE5CBF"/>
    <w:rPr>
      <w:b/>
      <w:bCs/>
    </w:rPr>
  </w:style>
  <w:style w:type="character" w:customStyle="1" w:styleId="CommentSubjectChar">
    <w:name w:val="Comment Subject Char"/>
    <w:basedOn w:val="CommentTextChar"/>
    <w:link w:val="CommentSubject"/>
    <w:uiPriority w:val="99"/>
    <w:semiHidden/>
    <w:rsid w:val="00EE5CBF"/>
    <w:rPr>
      <w:b/>
      <w:bCs/>
      <w:sz w:val="20"/>
      <w:szCs w:val="20"/>
    </w:rPr>
  </w:style>
  <w:style w:type="character" w:styleId="Hyperlink">
    <w:name w:val="Hyperlink"/>
    <w:basedOn w:val="DefaultParagraphFont"/>
    <w:uiPriority w:val="99"/>
    <w:unhideWhenUsed/>
    <w:rsid w:val="00726B63"/>
    <w:rPr>
      <w:color w:val="0563C1" w:themeColor="hyperlink"/>
      <w:u w:val="single"/>
    </w:rPr>
  </w:style>
  <w:style w:type="character" w:styleId="FollowedHyperlink">
    <w:name w:val="FollowedHyperlink"/>
    <w:basedOn w:val="DefaultParagraphFont"/>
    <w:uiPriority w:val="99"/>
    <w:semiHidden/>
    <w:unhideWhenUsed/>
    <w:rsid w:val="00FA38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72433">
      <w:bodyDiv w:val="1"/>
      <w:marLeft w:val="0"/>
      <w:marRight w:val="0"/>
      <w:marTop w:val="0"/>
      <w:marBottom w:val="0"/>
      <w:divBdr>
        <w:top w:val="none" w:sz="0" w:space="0" w:color="auto"/>
        <w:left w:val="none" w:sz="0" w:space="0" w:color="auto"/>
        <w:bottom w:val="none" w:sz="0" w:space="0" w:color="auto"/>
        <w:right w:val="none" w:sz="0" w:space="0" w:color="auto"/>
      </w:divBdr>
    </w:div>
    <w:div w:id="179597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39960-24D2-406A-8CF7-681980344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3</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Perucci</dc:creator>
  <cp:keywords/>
  <dc:description/>
  <cp:lastModifiedBy>Maja Perucci</cp:lastModifiedBy>
  <cp:revision>13</cp:revision>
  <cp:lastPrinted>2017-07-07T10:57:00Z</cp:lastPrinted>
  <dcterms:created xsi:type="dcterms:W3CDTF">2017-07-07T08:29:00Z</dcterms:created>
  <dcterms:modified xsi:type="dcterms:W3CDTF">2017-07-11T12:34:00Z</dcterms:modified>
</cp:coreProperties>
</file>