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61" w:rsidRDefault="00F60961" w:rsidP="00F60961">
      <w:pPr>
        <w:jc w:val="center"/>
        <w:rPr>
          <w:rFonts w:cstheme="minorHAnsi"/>
        </w:rPr>
      </w:pPr>
      <w:bookmarkStart w:id="0" w:name="_GoBack"/>
      <w:bookmarkEnd w:id="0"/>
      <w:r>
        <w:rPr>
          <w:rFonts w:cstheme="minorHAnsi"/>
        </w:rPr>
        <w:t>PITANJA I ODGOVORI</w:t>
      </w:r>
    </w:p>
    <w:p w:rsidR="00F60961" w:rsidRPr="009C12D7" w:rsidRDefault="00F60961" w:rsidP="00F60961">
      <w:pPr>
        <w:jc w:val="center"/>
        <w:rPr>
          <w:rFonts w:cstheme="minorHAnsi"/>
        </w:rPr>
      </w:pPr>
      <w:r w:rsidRPr="00C96557">
        <w:rPr>
          <w:rFonts w:cstheme="minorHAnsi"/>
        </w:rPr>
        <w:t>Informativna radionica u okviru Poziva na dostavu projektnih prijedloga „Umjetnost i kultura 54+“</w:t>
      </w:r>
      <w:r>
        <w:rPr>
          <w:rFonts w:cstheme="minorHAnsi"/>
        </w:rPr>
        <w:t xml:space="preserve"> u Zagrebu, 19.06.2017.</w:t>
      </w:r>
    </w:p>
    <w:p w:rsidR="002329FE" w:rsidRDefault="002329FE"/>
    <w:tbl>
      <w:tblPr>
        <w:tblStyle w:val="TableGrid"/>
        <w:tblW w:w="10485" w:type="dxa"/>
        <w:tblLook w:val="04A0" w:firstRow="1" w:lastRow="0" w:firstColumn="1" w:lastColumn="0" w:noHBand="0" w:noVBand="1"/>
      </w:tblPr>
      <w:tblGrid>
        <w:gridCol w:w="704"/>
        <w:gridCol w:w="3969"/>
        <w:gridCol w:w="5812"/>
      </w:tblGrid>
      <w:tr w:rsidR="002329FE" w:rsidTr="00F60961">
        <w:tc>
          <w:tcPr>
            <w:tcW w:w="704" w:type="dxa"/>
            <w:shd w:val="clear" w:color="auto" w:fill="auto"/>
            <w:tcMar>
              <w:left w:w="108" w:type="dxa"/>
            </w:tcMar>
          </w:tcPr>
          <w:p w:rsidR="002329FE" w:rsidRDefault="0034741F">
            <w:pPr>
              <w:spacing w:after="0" w:line="240" w:lineRule="auto"/>
              <w:rPr>
                <w:rFonts w:cstheme="minorHAnsi"/>
              </w:rPr>
            </w:pPr>
            <w:r>
              <w:rPr>
                <w:rFonts w:cstheme="minorHAnsi"/>
              </w:rPr>
              <w:t>Broj</w:t>
            </w: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PITANJE</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t>ODGOVOR</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Može li partner na projektnom prijedlogu biti udruga bez zaposlene osobe?</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t xml:space="preserve">Uvjeti prihvatljivosti partnera navedeni su u točki 2.2.2 </w:t>
            </w:r>
            <w:r>
              <w:rPr>
                <w:rFonts w:cstheme="minorHAnsi"/>
                <w:i/>
              </w:rPr>
              <w:t>Prihvatljivi partneri</w:t>
            </w:r>
            <w:r>
              <w:rPr>
                <w:rFonts w:cstheme="minorHAnsi"/>
              </w:rPr>
              <w:t xml:space="preserve"> Uputa za prijavitelje. Nije nužno da partner na projektnom prijedlogu ima zaposlenu osobu.</w:t>
            </w:r>
            <w:r>
              <w:t xml:space="preserve"> </w:t>
            </w:r>
            <w:r>
              <w:rPr>
                <w:rFonts w:cstheme="minorHAnsi"/>
              </w:rPr>
              <w:t xml:space="preserve">Ovaj natječaj omogućuje zapošljavanje novih osoba. </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Kako dokazujemo stručne reference osoba koje će provoditi projektne aktivnosti?</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t xml:space="preserve">Stručne reference projektnog tima se opisuju u rubrici 2.1 </w:t>
            </w:r>
            <w:r>
              <w:rPr>
                <w:rFonts w:cstheme="minorHAnsi"/>
                <w:i/>
              </w:rPr>
              <w:t>Projektni tim</w:t>
            </w:r>
            <w:r>
              <w:rPr>
                <w:rFonts w:cstheme="minorHAnsi"/>
              </w:rPr>
              <w:t xml:space="preserve"> Prijavnog obrasca B. Opisane reference nije potrebno potkrijepiti dodatnim dokaznim materijalom u trenutku prijave projektnog prijedloga, no prijavitelj jamči za njihovu ispravnost potpisujući </w:t>
            </w:r>
            <w:r>
              <w:rPr>
                <w:rFonts w:cstheme="minorHAnsi"/>
                <w:i/>
              </w:rPr>
              <w:t xml:space="preserve">Izjavu o istinitosti podataka, izbjegavanju dvostrukog financiranja i ispunjavanju preduvjeta za sudjelovanje u postupku dodjele bespovratnih sredstava </w:t>
            </w:r>
            <w:r>
              <w:rPr>
                <w:rFonts w:cstheme="minorHAnsi"/>
              </w:rPr>
              <w:t>(Obrazac 3 natječajne dokumentacije).</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Je li u okviru ovog natječaja dopušteno angažiranje stranih državljana kao provoditelja aktivnosti?</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t>Korisnik može angažirati stručnjake iz inozemstva, ukoliko je njihov angažman nužan za ostvarenje jednog ili više ciljeva projekta.</w:t>
            </w:r>
          </w:p>
          <w:p w:rsidR="002329FE" w:rsidRDefault="0034741F">
            <w:pPr>
              <w:spacing w:after="0" w:line="240" w:lineRule="auto"/>
              <w:rPr>
                <w:rFonts w:cstheme="minorHAnsi"/>
              </w:rPr>
            </w:pPr>
            <w:r>
              <w:rPr>
                <w:rFonts w:cstheme="minorHAnsi"/>
              </w:rPr>
              <w:t>Napominjemo da svi troškovi prikazani u proračunu projektnog prijedloga moraju biti realni, utemeljeni na tržišnim cijenama, opravdani u odnosu na projektne aktivnosti i očekivane rezultate, mjerljive ishode i ciljeve te predstavljati najbolju vrijednost za novac.</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Je li prihvatljiv prijavitelj udruga koja je registrirana u području socijalne djelatnosti, ali u opisu djelatnosti u okviru statuta ima navedenu i kulturnu djelatnost?</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t>Da. Prihvatljivost prijavitelja s obzirom na djelatnost provjerava se uvidom u temeljni akt organizacije te je udruga koja u temeljnom aktu ima navedenu kulturnu djelatnost prihvatljiv prijavitelj na ovaj Poziv.</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Postoji li neki registar institucija pružatelja usluga stručnog usavršavanja u području kulturne te umjetničke edukacije i medijacije usmjerene na socijalno uključivanje osoba starijih od 54 godine?</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t xml:space="preserve">Ministarstvo kulture ne vodi registar institucija pružatelja usluga stručnog usavršavanja u području kulturne i medijacije usmjerene na socijalno uključivanje osoba starijih od 54 godine. Prijavitelj može pripadnike ciljane skupine uputiti na već postojeći program edukacije ili može sam pripremiti, organizirati i provesti program stručnog usavršavanja. </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Je li prihvatljiv partner udruga koja nema zaposlenih, niti prethodnog iskustva u provođenju projekata? Je li moguće zaposliti osobe za provođenje projektnih aktivnosti u organizaciji partneru?</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t xml:space="preserve">Uvjeti prihvatljivosti partnera navedeni su u točki 2.2.2 </w:t>
            </w:r>
            <w:r>
              <w:rPr>
                <w:rFonts w:cstheme="minorHAnsi"/>
                <w:i/>
              </w:rPr>
              <w:t>Prihvatljivi partneri</w:t>
            </w:r>
            <w:r>
              <w:rPr>
                <w:rFonts w:cstheme="minorHAnsi"/>
              </w:rPr>
              <w:t xml:space="preserve"> Uputa za prijavitelje. Nije nužno da partner na projektu ima zaposlenu osobu. Ovaj natječaj omogućuje zapošljavanje novih osoba, kod prijavitelja, i kod partnera.</w:t>
            </w:r>
          </w:p>
          <w:p w:rsidR="002329FE" w:rsidRDefault="0034741F">
            <w:pPr>
              <w:spacing w:after="0" w:line="240" w:lineRule="auto"/>
              <w:rPr>
                <w:rFonts w:cstheme="minorHAnsi"/>
              </w:rPr>
            </w:pPr>
            <w:r>
              <w:t>Ukoliko se projektni prijedlog prijavljuje u partnerstvu, u fazi Procjene kvalitete (kriterij 3.1), ocjenjuju se ukupni upravljačko-administrativni i stručni kapaciteti projektnog partnerstva.</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 xml:space="preserve">U Uputama za prijavitelje je navedeno da izravni troškovi osoblja su troškovi rada koje je moguće jasno identificirati i koji proizlaze iz ugovora/rješenja između poslodavca (institucije i/ili organizacije) i zaposlenika ili ugovora o uslugama za vanjsko osoblje između naručitelja i fizičke osobe u vrijednosti manjoj od 200.000,00 kn bez poreza na dodanu </w:t>
            </w:r>
            <w:r>
              <w:rPr>
                <w:rFonts w:cstheme="minorHAnsi"/>
              </w:rPr>
              <w:lastRenderedPageBreak/>
              <w:t>vrijednost. Molimo objašnjenje kako je na ugovor s fizičkom osobom primjenjiv PDV.</w:t>
            </w:r>
          </w:p>
        </w:tc>
        <w:tc>
          <w:tcPr>
            <w:tcW w:w="5812" w:type="dxa"/>
            <w:shd w:val="clear" w:color="auto" w:fill="auto"/>
            <w:tcMar>
              <w:left w:w="108" w:type="dxa"/>
            </w:tcMar>
          </w:tcPr>
          <w:p w:rsidR="002329FE" w:rsidRDefault="0034741F">
            <w:pPr>
              <w:spacing w:after="0" w:line="240" w:lineRule="auto"/>
              <w:rPr>
                <w:rFonts w:cstheme="minorHAnsi"/>
              </w:rPr>
            </w:pPr>
            <w:r>
              <w:rPr>
                <w:rFonts w:cstheme="minorHAnsi"/>
              </w:rPr>
              <w:lastRenderedPageBreak/>
              <w:t xml:space="preserve">Sukladno odredbama Zakona o porezu na dodanu vrijednost (NN 73/13, 99/13, 148/13, 153/13, 143/14, 115/16), fizička osoba može biti obveznik PDV-a. Trošak rada izravno povezanog s projektom pripada kategoriji izravnog troška osoblja ukoliko proizlazi iz ugovora o uslugama između naručitelja i fizičke osobe u vrijednosti manjoj od 200.000,00 kn </w:t>
            </w:r>
            <w:r>
              <w:rPr>
                <w:rFonts w:cstheme="minorHAnsi"/>
                <w:b/>
              </w:rPr>
              <w:t>bez PDV-a</w:t>
            </w:r>
            <w:r>
              <w:rPr>
                <w:rFonts w:cstheme="minorHAnsi"/>
              </w:rPr>
              <w:t>.</w:t>
            </w:r>
          </w:p>
        </w:tc>
      </w:tr>
      <w:tr w:rsidR="002329FE" w:rsidTr="00F60961">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Molimo pojašnjenje sljedeće stavke ostalih izravnih troškova: „naknade za vanjske usluge izravno povezane s provedbom projektnih aktivnosti isplaćene fizičkim osobama temeljem ugovora potpisanih u okviru postupka javne nabave“. Zašto navedeno nije izravni trošak osoblja, s obzirom da se sklapaju ugovori s fizičkim osobama?</w:t>
            </w:r>
          </w:p>
        </w:tc>
        <w:tc>
          <w:tcPr>
            <w:tcW w:w="5812" w:type="dxa"/>
            <w:shd w:val="clear" w:color="auto" w:fill="auto"/>
            <w:tcMar>
              <w:left w:w="108" w:type="dxa"/>
            </w:tcMar>
          </w:tcPr>
          <w:p w:rsidR="002329FE" w:rsidRDefault="0034741F">
            <w:pPr>
              <w:spacing w:after="0" w:line="240" w:lineRule="auto"/>
            </w:pPr>
            <w:r>
              <w:t>Sukladno izmjenama natječajne dokumentacije, primjer prihvatljivog troška u kategoriji ostalih izravnih troškova „</w:t>
            </w:r>
            <w:r>
              <w:rPr>
                <w:i/>
                <w:iCs/>
              </w:rPr>
              <w:t>naknade za vanjske usluge izravno povezane s provedbom projektnih aktivnosti isplaćene fizičkim osobama temeljem ugovora potpisanih u okviru postupka javne nabave</w:t>
            </w:r>
            <w:r>
              <w:t>“, izmijenjen je i glasi „</w:t>
            </w:r>
            <w:r>
              <w:rPr>
                <w:i/>
                <w:iCs/>
              </w:rPr>
              <w:t>naknade za vanjske usluge izravno povezane s provedbom projektnih aktivnosti isplaćene fizičkim osobama u vrijednosti od 200.000,00 kn ili više, bez poreza na dodanu vrijednost</w:t>
            </w:r>
            <w:r>
              <w:t xml:space="preserve">“. </w:t>
            </w:r>
          </w:p>
          <w:p w:rsidR="002329FE" w:rsidRDefault="0034741F">
            <w:pPr>
              <w:spacing w:after="0" w:line="240" w:lineRule="auto"/>
              <w:rPr>
                <w:rFonts w:cstheme="minorHAnsi"/>
              </w:rPr>
            </w:pPr>
            <w:r>
              <w:t>Stoga, svaki ugovor o uslugama za vanjsko osoblje između naručitelja i fizičke osobe u vrijednosti manjoj od 200.000,00 kn bez PDV-a, a koji se isplaćuju osobi za obavljeni rad koji je izravno povezan s projektnom, predstavlja izravan trošak osoblja.</w:t>
            </w:r>
          </w:p>
        </w:tc>
      </w:tr>
      <w:tr w:rsidR="002329FE" w:rsidTr="00F60961">
        <w:trPr>
          <w:trHeight w:val="983"/>
        </w:trPr>
        <w:tc>
          <w:tcPr>
            <w:tcW w:w="704" w:type="dxa"/>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shd w:val="clear" w:color="auto" w:fill="auto"/>
            <w:tcMar>
              <w:left w:w="108" w:type="dxa"/>
            </w:tcMar>
          </w:tcPr>
          <w:p w:rsidR="002329FE" w:rsidRDefault="0034741F">
            <w:pPr>
              <w:spacing w:after="0" w:line="240" w:lineRule="auto"/>
              <w:rPr>
                <w:rFonts w:cstheme="minorHAnsi"/>
              </w:rPr>
            </w:pPr>
            <w:r>
              <w:rPr>
                <w:rFonts w:cstheme="minorHAnsi"/>
              </w:rPr>
              <w:t>Ako je voditelj projekta već prethodno zaposlen kod prijavitelja, na koji način prikazujemo njegovu plaću u okviru proračuna projekta? U obliku postotka ili prema radnim satima? Je li potrebno izraditi dodatak ugovora o radu zbog naknada koje će dobivati iz proračuna projekta?</w:t>
            </w:r>
          </w:p>
        </w:tc>
        <w:tc>
          <w:tcPr>
            <w:tcW w:w="5812" w:type="dxa"/>
            <w:shd w:val="clear" w:color="auto" w:fill="auto"/>
            <w:tcMar>
              <w:left w:w="108" w:type="dxa"/>
            </w:tcMar>
          </w:tcPr>
          <w:p w:rsidR="002329FE" w:rsidRDefault="0034741F">
            <w:pPr>
              <w:spacing w:after="0"/>
              <w:rPr>
                <w:rFonts w:cstheme="minorHAnsi"/>
              </w:rPr>
            </w:pPr>
            <w:r>
              <w:rPr>
                <w:rFonts w:cstheme="minorHAnsi"/>
              </w:rPr>
              <w:t xml:space="preserve">U slučaju da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 </w:t>
            </w:r>
          </w:p>
          <w:p w:rsidR="002329FE" w:rsidRDefault="002329FE">
            <w:pPr>
              <w:spacing w:after="0"/>
              <w:rPr>
                <w:rFonts w:cstheme="minorHAnsi"/>
              </w:rPr>
            </w:pPr>
          </w:p>
          <w:p w:rsidR="002329FE" w:rsidRDefault="0034741F">
            <w:pPr>
              <w:pStyle w:val="Sadrajitablice"/>
              <w:spacing w:after="0"/>
            </w:pPr>
            <w:r>
              <w:t>Primjeri:</w:t>
            </w:r>
          </w:p>
          <w:p w:rsidR="002329FE" w:rsidRDefault="0034741F">
            <w:pPr>
              <w:pStyle w:val="Sadrajitablice"/>
              <w:spacing w:after="0"/>
            </w:pPr>
            <w:r>
              <w:t>a) Ukoliko osoba radi na elementu koji traje 12 mjeseci 100% svog radnog vremena izračun je sljedeći:</w:t>
            </w:r>
          </w:p>
          <w:tbl>
            <w:tblPr>
              <w:tblW w:w="4457"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221"/>
              <w:gridCol w:w="1001"/>
              <w:gridCol w:w="1129"/>
              <w:gridCol w:w="1106"/>
            </w:tblGrid>
            <w:tr w:rsidR="002329FE">
              <w:trPr>
                <w:trHeight w:val="845"/>
              </w:trPr>
              <w:tc>
                <w:tcPr>
                  <w:tcW w:w="1248"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Sadrajitablice"/>
                    <w:spacing w:after="0"/>
                  </w:pPr>
                  <w:r>
                    <w:t>Broj jedinica</w:t>
                  </w:r>
                </w:p>
              </w:tc>
              <w:tc>
                <w:tcPr>
                  <w:tcW w:w="1013"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Sadrajitablice"/>
                    <w:spacing w:after="0"/>
                  </w:pPr>
                  <w:r>
                    <w:t>Jedinica</w:t>
                  </w:r>
                </w:p>
              </w:tc>
              <w:tc>
                <w:tcPr>
                  <w:tcW w:w="1138"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Sadrajitablice"/>
                    <w:spacing w:after="0"/>
                  </w:pPr>
                  <w:r>
                    <w:t>Iznos po jedinici, HRK</w:t>
                  </w:r>
                </w:p>
              </w:tc>
              <w:tc>
                <w:tcPr>
                  <w:tcW w:w="1057"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329FE" w:rsidRDefault="0034741F">
                  <w:pPr>
                    <w:pStyle w:val="Sadrajitablice"/>
                    <w:spacing w:after="0"/>
                  </w:pPr>
                  <w:r>
                    <w:t>Ukupni iznos, HRK</w:t>
                  </w:r>
                </w:p>
              </w:tc>
            </w:tr>
            <w:tr w:rsidR="002329FE">
              <w:tc>
                <w:tcPr>
                  <w:tcW w:w="1248" w:type="dxa"/>
                  <w:tcBorders>
                    <w:left w:val="single" w:sz="2" w:space="0" w:color="000001"/>
                    <w:bottom w:val="single" w:sz="2" w:space="0" w:color="000001"/>
                  </w:tcBorders>
                  <w:shd w:val="clear" w:color="auto" w:fill="FFFFFF"/>
                  <w:tcMar>
                    <w:left w:w="48" w:type="dxa"/>
                  </w:tcMar>
                </w:tcPr>
                <w:p w:rsidR="002329FE" w:rsidRDefault="0034741F">
                  <w:pPr>
                    <w:pStyle w:val="Sadrajitablice"/>
                    <w:spacing w:after="0"/>
                  </w:pPr>
                  <w:r>
                    <w:t>12</w:t>
                  </w:r>
                </w:p>
              </w:tc>
              <w:tc>
                <w:tcPr>
                  <w:tcW w:w="1013" w:type="dxa"/>
                  <w:tcBorders>
                    <w:left w:val="single" w:sz="2" w:space="0" w:color="000001"/>
                    <w:bottom w:val="single" w:sz="2" w:space="0" w:color="000001"/>
                  </w:tcBorders>
                  <w:shd w:val="clear" w:color="auto" w:fill="FFFFFF"/>
                  <w:tcMar>
                    <w:left w:w="48" w:type="dxa"/>
                  </w:tcMar>
                </w:tcPr>
                <w:p w:rsidR="002329FE" w:rsidRDefault="0034741F">
                  <w:pPr>
                    <w:pStyle w:val="Sadrajitablice"/>
                    <w:spacing w:after="0"/>
                  </w:pPr>
                  <w:r>
                    <w:t>mjesec</w:t>
                  </w:r>
                </w:p>
              </w:tc>
              <w:tc>
                <w:tcPr>
                  <w:tcW w:w="1138" w:type="dxa"/>
                  <w:tcBorders>
                    <w:left w:val="single" w:sz="2" w:space="0" w:color="000001"/>
                    <w:bottom w:val="single" w:sz="2" w:space="0" w:color="000001"/>
                  </w:tcBorders>
                  <w:shd w:val="clear" w:color="auto" w:fill="FFFFFF"/>
                  <w:tcMar>
                    <w:left w:w="48" w:type="dxa"/>
                  </w:tcMar>
                </w:tcPr>
                <w:p w:rsidR="002329FE" w:rsidRDefault="0034741F">
                  <w:pPr>
                    <w:pStyle w:val="Sadrajitablice"/>
                    <w:spacing w:after="0"/>
                  </w:pPr>
                  <w:r>
                    <w:t>12.000,00</w:t>
                  </w:r>
                </w:p>
              </w:tc>
              <w:tc>
                <w:tcPr>
                  <w:tcW w:w="1057" w:type="dxa"/>
                  <w:tcBorders>
                    <w:left w:val="single" w:sz="2" w:space="0" w:color="000001"/>
                    <w:bottom w:val="single" w:sz="2" w:space="0" w:color="000001"/>
                    <w:right w:val="single" w:sz="2" w:space="0" w:color="000001"/>
                  </w:tcBorders>
                  <w:shd w:val="clear" w:color="auto" w:fill="FFFFFF"/>
                  <w:tcMar>
                    <w:left w:w="48" w:type="dxa"/>
                  </w:tcMar>
                </w:tcPr>
                <w:p w:rsidR="002329FE" w:rsidRDefault="0034741F">
                  <w:pPr>
                    <w:pStyle w:val="Sadrajitablice"/>
                    <w:spacing w:after="0"/>
                  </w:pPr>
                  <w:r>
                    <w:t>144.000,00</w:t>
                  </w:r>
                </w:p>
              </w:tc>
            </w:tr>
          </w:tbl>
          <w:p w:rsidR="002329FE" w:rsidRDefault="002329FE">
            <w:pPr>
              <w:pStyle w:val="Sadrajitablice"/>
              <w:spacing w:after="0"/>
              <w:rPr>
                <w:rFonts w:ascii="Verdana" w:hAnsi="Verdana"/>
              </w:rPr>
            </w:pPr>
          </w:p>
          <w:p w:rsidR="002329FE" w:rsidRDefault="0034741F">
            <w:pPr>
              <w:pStyle w:val="Sadrajitablice"/>
              <w:spacing w:after="0"/>
              <w:rPr>
                <w:rFonts w:asciiTheme="minorHAnsi" w:hAnsiTheme="minorHAnsi" w:cstheme="minorHAnsi"/>
              </w:rPr>
            </w:pPr>
            <w:r>
              <w:rPr>
                <w:rFonts w:cstheme="minorHAnsi"/>
              </w:rPr>
              <w:t>b) Ukoliko radi 50% svog ukupnog radnog vremena obračun je sljedeći:</w:t>
            </w:r>
          </w:p>
          <w:p w:rsidR="002329FE" w:rsidRDefault="0034741F">
            <w:pPr>
              <w:pStyle w:val="Sadrajitablice"/>
              <w:spacing w:after="0"/>
            </w:pPr>
            <w:r>
              <w:rPr>
                <w:rFonts w:cstheme="minorHAnsi"/>
              </w:rPr>
              <w:t>12 mjeseci</w:t>
            </w:r>
            <w:r w:rsidR="00F60961">
              <w:rPr>
                <w:rFonts w:cstheme="minorHAnsi"/>
              </w:rPr>
              <w:t xml:space="preserve"> x 0,5</w:t>
            </w:r>
            <w:r>
              <w:rPr>
                <w:rFonts w:cstheme="minorHAnsi"/>
              </w:rPr>
              <w:t>= 6</w:t>
            </w:r>
          </w:p>
          <w:tbl>
            <w:tblPr>
              <w:tblW w:w="4457"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115"/>
              <w:gridCol w:w="1114"/>
              <w:gridCol w:w="1114"/>
              <w:gridCol w:w="1114"/>
            </w:tblGrid>
            <w:tr w:rsidR="002329FE">
              <w:tc>
                <w:tcPr>
                  <w:tcW w:w="1114"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Sadrajitablice"/>
                    <w:spacing w:after="0"/>
                  </w:pPr>
                  <w:r>
                    <w:t>Broj jedinica</w:t>
                  </w:r>
                </w:p>
              </w:tc>
              <w:tc>
                <w:tcPr>
                  <w:tcW w:w="1114"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Sadrajitablice"/>
                    <w:spacing w:after="0"/>
                  </w:pPr>
                  <w:r>
                    <w:t>Jedinica</w:t>
                  </w:r>
                </w:p>
              </w:tc>
              <w:tc>
                <w:tcPr>
                  <w:tcW w:w="1114"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Sadrajitablice"/>
                    <w:spacing w:after="0"/>
                  </w:pPr>
                  <w:r>
                    <w:t>Iznos po jedinici, HRK</w:t>
                  </w:r>
                </w:p>
              </w:tc>
              <w:tc>
                <w:tcPr>
                  <w:tcW w:w="1114"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329FE" w:rsidRDefault="0034741F">
                  <w:pPr>
                    <w:pStyle w:val="Sadrajitablice"/>
                    <w:spacing w:after="0"/>
                  </w:pPr>
                  <w:r>
                    <w:t>Ukupni iznos, HRK</w:t>
                  </w:r>
                </w:p>
              </w:tc>
            </w:tr>
            <w:tr w:rsidR="002329FE">
              <w:tc>
                <w:tcPr>
                  <w:tcW w:w="1114" w:type="dxa"/>
                  <w:tcBorders>
                    <w:left w:val="single" w:sz="2" w:space="0" w:color="000001"/>
                    <w:bottom w:val="single" w:sz="2" w:space="0" w:color="000001"/>
                  </w:tcBorders>
                  <w:shd w:val="clear" w:color="auto" w:fill="FFFFFF"/>
                  <w:tcMar>
                    <w:left w:w="48" w:type="dxa"/>
                  </w:tcMar>
                </w:tcPr>
                <w:p w:rsidR="002329FE" w:rsidRDefault="0034741F">
                  <w:pPr>
                    <w:pStyle w:val="Sadrajitablice"/>
                    <w:spacing w:after="0"/>
                  </w:pPr>
                  <w:r>
                    <w:t>6</w:t>
                  </w:r>
                </w:p>
              </w:tc>
              <w:tc>
                <w:tcPr>
                  <w:tcW w:w="1114" w:type="dxa"/>
                  <w:tcBorders>
                    <w:left w:val="single" w:sz="2" w:space="0" w:color="000001"/>
                    <w:bottom w:val="single" w:sz="2" w:space="0" w:color="000001"/>
                  </w:tcBorders>
                  <w:shd w:val="clear" w:color="auto" w:fill="FFFFFF"/>
                  <w:tcMar>
                    <w:left w:w="48" w:type="dxa"/>
                  </w:tcMar>
                </w:tcPr>
                <w:p w:rsidR="002329FE" w:rsidRDefault="0034741F">
                  <w:pPr>
                    <w:pStyle w:val="Sadrajitablice"/>
                    <w:spacing w:after="0"/>
                  </w:pPr>
                  <w:r>
                    <w:t>mjesec</w:t>
                  </w:r>
                </w:p>
              </w:tc>
              <w:tc>
                <w:tcPr>
                  <w:tcW w:w="1114" w:type="dxa"/>
                  <w:tcBorders>
                    <w:left w:val="single" w:sz="2" w:space="0" w:color="000001"/>
                    <w:bottom w:val="single" w:sz="2" w:space="0" w:color="000001"/>
                  </w:tcBorders>
                  <w:shd w:val="clear" w:color="auto" w:fill="FFFFFF"/>
                  <w:tcMar>
                    <w:left w:w="48" w:type="dxa"/>
                  </w:tcMar>
                </w:tcPr>
                <w:p w:rsidR="002329FE" w:rsidRDefault="0034741F">
                  <w:pPr>
                    <w:pStyle w:val="Sadrajitablice"/>
                    <w:spacing w:after="0"/>
                  </w:pPr>
                  <w:r>
                    <w:t>12.000,00</w:t>
                  </w:r>
                </w:p>
              </w:tc>
              <w:tc>
                <w:tcPr>
                  <w:tcW w:w="1114" w:type="dxa"/>
                  <w:tcBorders>
                    <w:left w:val="single" w:sz="2" w:space="0" w:color="000001"/>
                    <w:bottom w:val="single" w:sz="2" w:space="0" w:color="000001"/>
                    <w:right w:val="single" w:sz="2" w:space="0" w:color="000001"/>
                  </w:tcBorders>
                  <w:shd w:val="clear" w:color="auto" w:fill="FFFFFF"/>
                  <w:tcMar>
                    <w:left w:w="48" w:type="dxa"/>
                  </w:tcMar>
                </w:tcPr>
                <w:p w:rsidR="002329FE" w:rsidRDefault="0034741F">
                  <w:pPr>
                    <w:pStyle w:val="Sadrajitablice"/>
                    <w:spacing w:after="0"/>
                  </w:pPr>
                  <w:r>
                    <w:t>72.000,00</w:t>
                  </w:r>
                </w:p>
              </w:tc>
            </w:tr>
          </w:tbl>
          <w:p w:rsidR="002329FE" w:rsidRDefault="002329FE">
            <w:pPr>
              <w:pStyle w:val="Sadrajitablice"/>
              <w:spacing w:after="0"/>
              <w:rPr>
                <w:rFonts w:ascii="Verdana" w:hAnsi="Verdana"/>
              </w:rPr>
            </w:pPr>
          </w:p>
          <w:p w:rsidR="002329FE" w:rsidRDefault="0034741F">
            <w:pPr>
              <w:pStyle w:val="Sadrajitablice"/>
              <w:spacing w:after="0"/>
              <w:rPr>
                <w:rFonts w:asciiTheme="minorHAnsi" w:hAnsiTheme="minorHAnsi" w:cstheme="minorHAnsi"/>
              </w:rPr>
            </w:pPr>
            <w:r>
              <w:rPr>
                <w:rFonts w:cstheme="minorHAnsi"/>
              </w:rPr>
              <w:t>c) Ukoliko radi 25% svog ukupnog radnog vremena obračun je sljedeći:</w:t>
            </w:r>
          </w:p>
          <w:p w:rsidR="002329FE" w:rsidRDefault="0034741F">
            <w:pPr>
              <w:pStyle w:val="Sadrajitablice"/>
              <w:spacing w:after="0"/>
              <w:rPr>
                <w:rFonts w:asciiTheme="minorHAnsi" w:hAnsiTheme="minorHAnsi" w:cstheme="minorHAnsi"/>
              </w:rPr>
            </w:pPr>
            <w:r>
              <w:rPr>
                <w:rFonts w:cstheme="minorHAnsi"/>
              </w:rPr>
              <w:t xml:space="preserve">12 mjeseci </w:t>
            </w:r>
            <w:r w:rsidR="00F60961">
              <w:rPr>
                <w:rFonts w:cstheme="minorHAnsi"/>
              </w:rPr>
              <w:t>x 0,25</w:t>
            </w:r>
            <w:r>
              <w:rPr>
                <w:rFonts w:cstheme="minorHAnsi"/>
              </w:rPr>
              <w:t>= 3</w:t>
            </w:r>
          </w:p>
          <w:tbl>
            <w:tblPr>
              <w:tblW w:w="4525"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132"/>
              <w:gridCol w:w="1131"/>
              <w:gridCol w:w="1131"/>
              <w:gridCol w:w="1131"/>
            </w:tblGrid>
            <w:tr w:rsidR="002329FE">
              <w:trPr>
                <w:trHeight w:val="329"/>
              </w:trPr>
              <w:tc>
                <w:tcPr>
                  <w:tcW w:w="1131"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Naslovtablice"/>
                  </w:pPr>
                  <w:r>
                    <w:t>Broj jedinica</w:t>
                  </w:r>
                </w:p>
              </w:tc>
              <w:tc>
                <w:tcPr>
                  <w:tcW w:w="1131"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Naslovtablice"/>
                  </w:pPr>
                  <w:r>
                    <w:t>Jedinica</w:t>
                  </w:r>
                </w:p>
              </w:tc>
              <w:tc>
                <w:tcPr>
                  <w:tcW w:w="1131" w:type="dxa"/>
                  <w:tcBorders>
                    <w:top w:val="single" w:sz="2" w:space="0" w:color="000001"/>
                    <w:left w:val="single" w:sz="2" w:space="0" w:color="000001"/>
                    <w:bottom w:val="single" w:sz="2" w:space="0" w:color="000001"/>
                  </w:tcBorders>
                  <w:shd w:val="clear" w:color="auto" w:fill="FFFFFF"/>
                  <w:tcMar>
                    <w:left w:w="48" w:type="dxa"/>
                  </w:tcMar>
                </w:tcPr>
                <w:p w:rsidR="002329FE" w:rsidRDefault="0034741F">
                  <w:pPr>
                    <w:pStyle w:val="Naslovtablice"/>
                  </w:pPr>
                  <w:r>
                    <w:t>Iznos po jedinici, HRK</w:t>
                  </w:r>
                </w:p>
              </w:tc>
              <w:tc>
                <w:tcPr>
                  <w:tcW w:w="1131" w:type="dxa"/>
                  <w:tcBorders>
                    <w:top w:val="single" w:sz="2" w:space="0" w:color="000001"/>
                    <w:left w:val="single" w:sz="2" w:space="0" w:color="000001"/>
                    <w:bottom w:val="single" w:sz="2" w:space="0" w:color="000001"/>
                    <w:right w:val="single" w:sz="2" w:space="0" w:color="000001"/>
                  </w:tcBorders>
                  <w:shd w:val="clear" w:color="auto" w:fill="FFFFFF"/>
                  <w:tcMar>
                    <w:left w:w="48" w:type="dxa"/>
                  </w:tcMar>
                </w:tcPr>
                <w:p w:rsidR="002329FE" w:rsidRDefault="0034741F">
                  <w:pPr>
                    <w:pStyle w:val="Naslovtablice"/>
                  </w:pPr>
                  <w:r>
                    <w:t>Ukupni iznos, HRK</w:t>
                  </w:r>
                </w:p>
              </w:tc>
            </w:tr>
            <w:tr w:rsidR="002329FE">
              <w:trPr>
                <w:trHeight w:val="145"/>
              </w:trPr>
              <w:tc>
                <w:tcPr>
                  <w:tcW w:w="1131" w:type="dxa"/>
                  <w:tcBorders>
                    <w:left w:val="single" w:sz="2" w:space="0" w:color="000001"/>
                    <w:bottom w:val="single" w:sz="2" w:space="0" w:color="000001"/>
                  </w:tcBorders>
                  <w:shd w:val="clear" w:color="auto" w:fill="FFFFFF"/>
                  <w:tcMar>
                    <w:left w:w="48" w:type="dxa"/>
                  </w:tcMar>
                </w:tcPr>
                <w:p w:rsidR="002329FE" w:rsidRDefault="0034741F">
                  <w:pPr>
                    <w:pStyle w:val="Sadrajitablice"/>
                  </w:pPr>
                  <w:r>
                    <w:t>3</w:t>
                  </w:r>
                </w:p>
              </w:tc>
              <w:tc>
                <w:tcPr>
                  <w:tcW w:w="1131" w:type="dxa"/>
                  <w:tcBorders>
                    <w:left w:val="single" w:sz="2" w:space="0" w:color="000001"/>
                    <w:bottom w:val="single" w:sz="2" w:space="0" w:color="000001"/>
                  </w:tcBorders>
                  <w:shd w:val="clear" w:color="auto" w:fill="FFFFFF"/>
                  <w:tcMar>
                    <w:left w:w="48" w:type="dxa"/>
                  </w:tcMar>
                </w:tcPr>
                <w:p w:rsidR="002329FE" w:rsidRDefault="0034741F">
                  <w:pPr>
                    <w:pStyle w:val="Sadrajitablice"/>
                  </w:pPr>
                  <w:r>
                    <w:t>mjesec</w:t>
                  </w:r>
                </w:p>
              </w:tc>
              <w:tc>
                <w:tcPr>
                  <w:tcW w:w="1131" w:type="dxa"/>
                  <w:tcBorders>
                    <w:left w:val="single" w:sz="2" w:space="0" w:color="000001"/>
                    <w:bottom w:val="single" w:sz="2" w:space="0" w:color="000001"/>
                  </w:tcBorders>
                  <w:shd w:val="clear" w:color="auto" w:fill="FFFFFF"/>
                  <w:tcMar>
                    <w:left w:w="48" w:type="dxa"/>
                  </w:tcMar>
                </w:tcPr>
                <w:p w:rsidR="002329FE" w:rsidRDefault="0034741F">
                  <w:pPr>
                    <w:pStyle w:val="Sadrajitablice"/>
                  </w:pPr>
                  <w:r>
                    <w:t>12.000,00</w:t>
                  </w:r>
                </w:p>
              </w:tc>
              <w:tc>
                <w:tcPr>
                  <w:tcW w:w="1131" w:type="dxa"/>
                  <w:tcBorders>
                    <w:left w:val="single" w:sz="2" w:space="0" w:color="000001"/>
                    <w:bottom w:val="single" w:sz="2" w:space="0" w:color="000001"/>
                    <w:right w:val="single" w:sz="2" w:space="0" w:color="000001"/>
                  </w:tcBorders>
                  <w:shd w:val="clear" w:color="auto" w:fill="FFFFFF"/>
                  <w:tcMar>
                    <w:left w:w="48" w:type="dxa"/>
                  </w:tcMar>
                </w:tcPr>
                <w:p w:rsidR="002329FE" w:rsidRDefault="0034741F">
                  <w:pPr>
                    <w:pStyle w:val="Sadrajitablice"/>
                  </w:pPr>
                  <w:r>
                    <w:t>36.000,00</w:t>
                  </w:r>
                </w:p>
              </w:tc>
            </w:tr>
          </w:tbl>
          <w:p w:rsidR="002329FE" w:rsidRDefault="002329FE">
            <w:pPr>
              <w:pStyle w:val="Sadrajitablice"/>
              <w:spacing w:after="0"/>
              <w:rPr>
                <w:rFonts w:asciiTheme="minorHAnsi" w:hAnsiTheme="minorHAnsi" w:cstheme="minorHAnsi"/>
              </w:rPr>
            </w:pPr>
          </w:p>
          <w:p w:rsidR="002329FE" w:rsidRDefault="0034741F">
            <w:pPr>
              <w:pStyle w:val="Sadrajitablice"/>
              <w:spacing w:after="0"/>
            </w:pPr>
            <w:r>
              <w:t>Ovisno o postotku rada potrebno je primijeniti istu formulu.</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U rubrici 2.1 prijavnog obrasca B potrebno je navesti ime i prezime i </w:t>
            </w:r>
            <w:r>
              <w:rPr>
                <w:rFonts w:cstheme="minorHAnsi"/>
              </w:rPr>
              <w:lastRenderedPageBreak/>
              <w:t>stručne reference ključnih članova projektnog tima. Što ako ustanova nema već zaposlene odgovarajuće stručnjake za provedbu svih projektnih aktivnosti, ne krši li ona odredbe vezane uz zapošljavanje u javnim institucijama ako unaprijed navodi osobe koje će zaposliti na projektu?</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lastRenderedPageBreak/>
              <w:t xml:space="preserve">U slučaju kada je nužno zapošljavanje nove osobe, a zakonski ili </w:t>
            </w:r>
            <w:proofErr w:type="spellStart"/>
            <w:r>
              <w:rPr>
                <w:rFonts w:cstheme="minorHAnsi"/>
              </w:rPr>
              <w:t>podzakonski</w:t>
            </w:r>
            <w:proofErr w:type="spellEnd"/>
            <w:r>
              <w:rPr>
                <w:rFonts w:cstheme="minorHAnsi"/>
              </w:rPr>
              <w:t xml:space="preserve"> akt kojim se regulira zapošljavanje u danoj </w:t>
            </w:r>
            <w:r>
              <w:rPr>
                <w:rFonts w:cstheme="minorHAnsi"/>
              </w:rPr>
              <w:lastRenderedPageBreak/>
              <w:t xml:space="preserve">instituciji obvezuje korisnika/partnera na raspisivanje javnog natječaja, u dijelu „Ime i prezime“ rubrike 2.1 prijavnog obrasca B, upisuje se razlog zbog kojeg nije moguće navesti imena i prezimena (npr. zakonski ili </w:t>
            </w:r>
            <w:proofErr w:type="spellStart"/>
            <w:r>
              <w:rPr>
                <w:rFonts w:cstheme="minorHAnsi"/>
              </w:rPr>
              <w:t>podzakonski</w:t>
            </w:r>
            <w:proofErr w:type="spellEnd"/>
            <w:r>
              <w:rPr>
                <w:rFonts w:cstheme="minorHAnsi"/>
              </w:rPr>
              <w:t xml:space="preserve"> akt kojim se regulira zapošljavanje novih osoba), a u dijelu „Obrazovanje i stručno usavršavanje“ i „Relevantno iskustvo“ navode se uvjeti za zapošljavanje. Osoba naknadno zaposlena na projektu mora posjedovati kompetencije navedene pri prijavi projekta.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U Uputama za prijavitelje je navedeno da su prihvatljivi partneri udruge u području socijalne djelatnosti. Ubraja li se u to i udruge umirovljenika ili udruge invalida?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Prihvatljivost prijavitelja s obzirom na djelatnost provjerava se uvidom u temeljni akt udruge. </w:t>
            </w:r>
          </w:p>
          <w:p w:rsidR="002329FE" w:rsidRDefault="0034741F">
            <w:pPr>
              <w:spacing w:after="0" w:line="240" w:lineRule="auto"/>
              <w:rPr>
                <w:rFonts w:cstheme="minorHAnsi"/>
              </w:rPr>
            </w:pPr>
            <w:r>
              <w:rPr>
                <w:rFonts w:cstheme="minorHAnsi"/>
              </w:rPr>
              <w:t xml:space="preserve">Ukoliko udruga u svom temeljnom aktu ima navedenu socijalnu djelatnost, ona je prihvatljiv partner u okviru ovog Poziva.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Je li nabava konzultantskih usluga za pripremu projektne dokumentacije te za upravljanje i administraciju projektom prihvatljiv trošak?</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rPr>
                <w:rFonts w:cstheme="minorHAnsi"/>
              </w:rPr>
            </w:pPr>
            <w:r>
              <w:rPr>
                <w:rFonts w:cstheme="minorHAnsi"/>
              </w:rPr>
              <w:t xml:space="preserve">Ne. Sukladno Posebnim uvjetima Ugovora o dodjeli bespovratnih sredstava (Prilog 2 natječajne dokumentacije), razdoblje provedbe i financiranja projekta započinje stupanjem na snagu Ugovora o dodjeli bespovratnih sredstava, stoga retrogradno financiranje aktivnosti, uključujući pripremu projektne dokumentacije nije prihvatljiv trošak. </w:t>
            </w:r>
          </w:p>
          <w:p w:rsidR="002329FE" w:rsidRDefault="002329FE">
            <w:pPr>
              <w:spacing w:after="0"/>
              <w:rPr>
                <w:rFonts w:cstheme="minorHAnsi"/>
              </w:rPr>
            </w:pPr>
          </w:p>
          <w:p w:rsidR="002329FE" w:rsidRDefault="0034741F" w:rsidP="004046B8">
            <w:pPr>
              <w:pStyle w:val="CommentText"/>
              <w:spacing w:after="0"/>
            </w:pPr>
            <w:r w:rsidRPr="00F60961">
              <w:rPr>
                <w:rFonts w:cstheme="minorHAnsi"/>
                <w:sz w:val="22"/>
                <w:szCs w:val="22"/>
              </w:rPr>
              <w:t>Savjetodavne/</w:t>
            </w:r>
            <w:r w:rsidR="00F60961" w:rsidRPr="00F60961">
              <w:rPr>
                <w:rFonts w:cstheme="minorHAnsi"/>
                <w:sz w:val="22"/>
                <w:szCs w:val="22"/>
              </w:rPr>
              <w:t>konzultantske</w:t>
            </w:r>
            <w:r w:rsidRPr="00F60961">
              <w:rPr>
                <w:rFonts w:cstheme="minorHAnsi"/>
                <w:sz w:val="22"/>
                <w:szCs w:val="22"/>
              </w:rPr>
              <w:t xml:space="preserve"> usluge u okviru elementa „Upravljanje projektom i administracija“ nisu prihvatljiv trošak</w:t>
            </w:r>
            <w:r w:rsidR="004046B8">
              <w:rPr>
                <w:rFonts w:cstheme="minorHAnsi"/>
                <w:sz w:val="22"/>
                <w:szCs w:val="22"/>
              </w:rPr>
              <w:t>.</w:t>
            </w:r>
            <w:r w:rsidRPr="00F60961">
              <w:rPr>
                <w:rFonts w:cstheme="minorHAnsi"/>
                <w:sz w:val="22"/>
                <w:szCs w:val="22"/>
              </w:rPr>
              <w:t xml:space="preserv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Koji je predviđeni rok obrade projektnih prijava?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Donošenje Odluke o financiranju se okvirno očekuje u prosincu 2017. godine.</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Napomenuto je da razdoblje financiranja projekta započinje stupanjem na snagu ugovora o dodjeli bespovratnih sredstava. Postoji li mogućnost da se to pomakne na datum podnošenja projektnog prijedloga.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Ne. Troškovi koji su nastali prije stupanja Ugovora na snagu nisu prihvatljivi za financiranje.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Je li prihvatljivo na projektnim aktivnostima angažirati stručnjake koji nisu iz područja kulture, primjerice sociologe koji se bave socijalnim uključivanjem?</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Ukoliko je angažiranje odgovarajućih stručnjaka nužno za postizanje ciljeva projekta i Poziva, njihov angažman je prihvatljiv trošak. Relevantnost projektnog prijedloga u odnosu na ciljeve Poziva ocjenjuje se kroz Kriterije dodjele i pitanja za kvalitativnu procjenu.</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Možemo li u okviru promidžbe i vidljivosti uspostaviti Facebook stranicu projekta?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Da. Uspostavljanje Facebook stranice projekta je prihvatljiva aktivnost promidžbe i vidljivosti.</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Jesu li 3 elementa u uputama za prijavitelje maksimum elemenata koji jedan projekt može imati ili je moguće dodati još neki element?</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Sva tri elementa navedena u Uputama za prijavitelje su obavezna, no aktivnosti iz elementa 2. </w:t>
            </w:r>
            <w:r>
              <w:rPr>
                <w:rFonts w:cstheme="minorHAnsi"/>
                <w:i/>
              </w:rPr>
              <w:t>Priprema i provedba participativnih umjetničkih i kulturnih aktivnosti usmjerenih na socijalno uključivanje osoba starijih od 54 godine</w:t>
            </w:r>
            <w:r>
              <w:rPr>
                <w:rFonts w:cstheme="minorHAnsi"/>
              </w:rPr>
              <w:t>, prijavitelj, ako smatra da je potrebno, može razraditi u više elemenata.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Postoje li ograničenja u postocima ukupnih prihvatljivih troškova projekta za elemente „Upravljanje projektom i administracija“ i „Promidžba i vidljivost“?</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Ne postoje ograničenja na iznose za navedena dva elementa. No, napominjemo da svi troškovi prikazani u proračunu projektnog prijedloga moraju biti realni, utemeljeni na tržišnim cijenama, opravdani u odnosu na projektne aktivnosti i očekivane rezultate, mjerljive ishode i ciljeve te predstavljati najbolju vrijednost za novac.</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U slučaju angažiranja osoba koji su već prethodno zaposlene u organizaciji prijavitelju/partneru na projektnim aktivnostima i stoga dobivaju povećan opseg posla, kako u proračunu prikazujemo njihovu plaću? Možemo li </w:t>
            </w:r>
            <w:r>
              <w:rPr>
                <w:rFonts w:cstheme="minorHAnsi"/>
              </w:rPr>
              <w:lastRenderedPageBreak/>
              <w:t>njihovu plaću povećati za određeni postotak? Možemo im isplatiti prekovremene sate temeljem rada na projektu?</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lastRenderedPageBreak/>
              <w:t xml:space="preserve">Molimo pogledati odgovor na pitanje br. 9. </w:t>
            </w:r>
          </w:p>
          <w:p w:rsidR="002329FE" w:rsidRDefault="0034741F">
            <w:pPr>
              <w:spacing w:after="0" w:line="240" w:lineRule="auto"/>
              <w:rPr>
                <w:rFonts w:cstheme="minorHAnsi"/>
              </w:rPr>
            </w:pPr>
            <w:r>
              <w:rPr>
                <w:rFonts w:cstheme="minorHAnsi"/>
              </w:rPr>
              <w:t xml:space="preserve">Osobi angažiranoj na projektu se ne može dodijeliti plaća veća od one definirane primjenjivim zakonima, </w:t>
            </w:r>
            <w:proofErr w:type="spellStart"/>
            <w:r>
              <w:rPr>
                <w:rFonts w:cstheme="minorHAnsi"/>
              </w:rPr>
              <w:t>podzakonskim</w:t>
            </w:r>
            <w:proofErr w:type="spellEnd"/>
            <w:r>
              <w:rPr>
                <w:rFonts w:cstheme="minorHAnsi"/>
              </w:rPr>
              <w:t xml:space="preserve"> i internim aktima koji reguliraju plaće u instituciji poslodavcu. </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lastRenderedPageBreak/>
              <w:t xml:space="preserve">Sukladno </w:t>
            </w:r>
            <w:r>
              <w:rPr>
                <w:rFonts w:cstheme="minorHAnsi"/>
                <w:i/>
              </w:rPr>
              <w:t xml:space="preserve">Uputi o prihvatljivosti troškova plaća i troškova povezanih s radom u okviru Europskog socijalnog fonda u Republici Hrvatskoj 2014. – 2020., </w:t>
            </w:r>
            <w:r>
              <w:rPr>
                <w:rFonts w:cstheme="minorHAnsi"/>
              </w:rPr>
              <w:t xml:space="preserve">točka 2.1. </w:t>
            </w:r>
            <w:r>
              <w:rPr>
                <w:rFonts w:cstheme="minorHAnsi"/>
                <w:i/>
              </w:rPr>
              <w:t>Primjena stvarno nastalih izdataka temeljem radnog odnosa</w:t>
            </w:r>
            <w:r>
              <w:rPr>
                <w:rFonts w:cstheme="minorHAnsi"/>
              </w:rPr>
              <w:t xml:space="preserve"> –prekovremeni rad je prihvatljiv izdatak za osobe koje sudjeluju u provedbi projekta puno radno vrijeme ili nepuno radno vrijeme (dio radnog vremena), ako je nužan u cilju provedbe aktivnosti prema predviđenoj dinamici projekta, evidentiran u radnom listu (</w:t>
            </w:r>
            <w:proofErr w:type="spellStart"/>
            <w:r>
              <w:rPr>
                <w:rFonts w:cstheme="minorHAnsi"/>
              </w:rPr>
              <w:t>timesheet</w:t>
            </w:r>
            <w:proofErr w:type="spellEnd"/>
            <w:r>
              <w:rPr>
                <w:rFonts w:cstheme="minorHAnsi"/>
              </w:rPr>
              <w:t xml:space="preserve">) i plaćen. </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 xml:space="preserve">Također, sukladno navedenoj </w:t>
            </w:r>
            <w:r>
              <w:rPr>
                <w:rFonts w:cstheme="minorHAnsi"/>
                <w:i/>
              </w:rPr>
              <w:t xml:space="preserve">Uputi, </w:t>
            </w:r>
            <w:r>
              <w:t>p</w:t>
            </w:r>
            <w:r>
              <w:rPr>
                <w:rFonts w:cstheme="minorHAnsi"/>
              </w:rPr>
              <w:t xml:space="preserve">ovećanje plaća prije potpisivanja ugovora ili tijekom provedbe projekta o dodjeli bespovratnih sredstava prihvatljivo je ako je riječ o napredovanju ili povećanju plaća koje se odnosi na sve zaposlenike u instituciji ili organizaciji.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sidRPr="003F7085">
              <w:rPr>
                <w:rFonts w:cstheme="minorHAnsi"/>
              </w:rPr>
              <w:t>Napomenuto je da razdoblje provedbe projekta započinje s datumom zadnjeg potpisa ugovora o dodjeli bespovratnih sredstava. Je li moguće s provedbom aktivnosti početi kasnije od navedenog vremena?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Sukladno točkama 2.1 i 2.2 Posebnih uvjeta koji su objavljeni kao Prilog 2 u sklopu natječajne dokumentacije utvrđeno je da provedba projekta započinje s datumom zadnjeg potpisa ugovora.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Možete li pojasniti stupanj </w:t>
            </w:r>
            <w:proofErr w:type="spellStart"/>
            <w:r>
              <w:rPr>
                <w:rFonts w:cstheme="minorHAnsi"/>
              </w:rPr>
              <w:t>participativnosti</w:t>
            </w:r>
            <w:proofErr w:type="spellEnd"/>
            <w:r>
              <w:rPr>
                <w:rFonts w:cstheme="minorHAnsi"/>
              </w:rPr>
              <w:t xml:space="preserve"> koji se traži od pripadnika ciljne skupine „stariji od 54+“? Je li dovoljno u okviru projekta organizirati izložbu ili vodstvo po muzeju namijenjenu toj ciljnoj skupini ili je nužno pored toga organizirati radionice?</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Projektne aktivnosti u kojima sudjeluju pripadnici ciljne skupine „osobe starije od 54 godine“ moraju biti participativne i doprinositi ostvarenju ciljeva Poziva, odnosno projekta. Aktivnostima koje se odnose isključivo na vodstvo po muzeju ili npr. predavanje bez aktivnog sudjelovanja pripadnika ciljane skupine, ne ostvaruje se zadovoljavajuća razina </w:t>
            </w:r>
            <w:proofErr w:type="spellStart"/>
            <w:r>
              <w:rPr>
                <w:rFonts w:cstheme="minorHAnsi"/>
              </w:rPr>
              <w:t>participativnosti</w:t>
            </w:r>
            <w:proofErr w:type="spellEnd"/>
            <w:r>
              <w:rPr>
                <w:rFonts w:cstheme="minorHAnsi"/>
              </w:rPr>
              <w:t xml:space="preserve"> sudionika.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Vezano uz aktivnosti stručnog usavršavanja umjetnika i kulturnih radnika u području kulturne te umjetničke edukacije i medijacije usmjerene na socijalno uključivanje osoba starijih od 54 godine i dokaze koje je potrebno dostaviti za sudionike tih aktivnosti, kako dokazujemo prihvatljivost sudionika koji će biti angažiran na daljnjoj provedbi projekta kao vanjski suradnik, temeljem primjerice autorskog ugovora?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Sukladno točki 1.4 </w:t>
            </w:r>
            <w:r>
              <w:rPr>
                <w:rFonts w:cstheme="minorHAnsi"/>
                <w:i/>
              </w:rPr>
              <w:t>Svrha, cilj i ciljne skupine Poziva na dostavu projektnih prijedloga</w:t>
            </w:r>
            <w:r>
              <w:rPr>
                <w:rFonts w:cstheme="minorHAnsi"/>
              </w:rPr>
              <w:t xml:space="preserve"> Uputa za prijavitelje, za dokazivanje pripadnosti ciljnoj skupini „stručnjaci iz područja kulture i umjetnosti“ obavezan dokument je preslika ugovora o radu ili izjava poslodavca iz koje je vidljivo da osoba obavlja poslove iz područja kulture i umjetnosti kao zaposlenik ustanove u kulturi, umjetničke organizacije, udruge u području kulture i umjetnosti, zaklade te neprofitne zadruge koja obavlja kulturnu ili umjetničku djelatnost ili potvrda članstva u Hrvatskoj zajednici samostalnih umjetnika. Pri tom sudionik stručnog usavršavanja može na projektu biti angažiran putem npr. autorskog ugovora, odnosno nije nužno da je zaposlenik prijavitelja/partnera.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Što je s pravilom da sudionici ne smiju biti plaćeni za svoje sudjelovanje u projektnim aktivnostima, u slučaju kad sudionici ujedno i provode aktivnosti (stručnjaci u kulturi)?</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Pr="003F7085" w:rsidRDefault="0034741F">
            <w:pPr>
              <w:spacing w:after="0" w:line="240" w:lineRule="auto"/>
              <w:rPr>
                <w:rFonts w:cstheme="minorHAnsi"/>
              </w:rPr>
            </w:pPr>
            <w:r w:rsidRPr="003F7085">
              <w:rPr>
                <w:rFonts w:cstheme="minorHAnsi"/>
              </w:rPr>
              <w:t>Pripadnici ciljne skupine „</w:t>
            </w:r>
            <w:r w:rsidR="004046B8">
              <w:rPr>
                <w:rFonts w:cstheme="minorHAnsi"/>
              </w:rPr>
              <w:t>s</w:t>
            </w:r>
            <w:r w:rsidRPr="003F7085">
              <w:rPr>
                <w:rFonts w:cstheme="minorHAnsi"/>
              </w:rPr>
              <w:t xml:space="preserve">tručnjaci iz područja kulture i umjetnosti“ smatraju se sudionicima samo u aktivnostima stručnog usavršavanja u području kulturne i umjetničke edukacije i medijacije usmjerene na socijalno uključivanje osoba starijih od 54 godine.  </w:t>
            </w:r>
          </w:p>
          <w:p w:rsidR="002329FE" w:rsidRPr="003F7085" w:rsidRDefault="002329FE">
            <w:pPr>
              <w:spacing w:after="0" w:line="240" w:lineRule="auto"/>
              <w:rPr>
                <w:rFonts w:cstheme="minorHAnsi"/>
              </w:rPr>
            </w:pPr>
          </w:p>
          <w:p w:rsidR="002329FE" w:rsidRDefault="0034741F" w:rsidP="004046B8">
            <w:pPr>
              <w:spacing w:after="0" w:line="240" w:lineRule="auto"/>
              <w:rPr>
                <w:rFonts w:cstheme="minorHAnsi"/>
                <w:highlight w:val="yellow"/>
              </w:rPr>
            </w:pPr>
            <w:r w:rsidRPr="003F7085">
              <w:rPr>
                <w:rFonts w:cstheme="minorHAnsi"/>
              </w:rPr>
              <w:t>U vezi s kulturnim i umjetničkim aktivnostima za ciljnu skupinu „</w:t>
            </w:r>
            <w:r w:rsidR="004046B8">
              <w:rPr>
                <w:rFonts w:cstheme="minorHAnsi"/>
              </w:rPr>
              <w:t>o</w:t>
            </w:r>
            <w:r w:rsidR="004046B8" w:rsidRPr="003F7085">
              <w:rPr>
                <w:rFonts w:cstheme="minorHAnsi"/>
              </w:rPr>
              <w:t xml:space="preserve">sobe </w:t>
            </w:r>
            <w:r w:rsidRPr="003F7085">
              <w:rPr>
                <w:rFonts w:cstheme="minorHAnsi"/>
              </w:rPr>
              <w:t xml:space="preserve">starije od 54 godine“, oni su provoditelji aktivnosti, a ne sudionici te su troškovi njihovog rada prihvatljivi sukladno </w:t>
            </w:r>
            <w:r w:rsidRPr="003F7085">
              <w:rPr>
                <w:rFonts w:cstheme="minorHAnsi"/>
                <w:i/>
              </w:rPr>
              <w:t xml:space="preserve">Uputi o prihvatljivosti troškova plaća i troškova povezanih s radom u okviru ESF-a u RH.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Je li ugovor o radu na projektu dokaz da je netko stručnjak u kulturi, ili je potreban ugovor o radu kod nekog drugog poslodavca?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Ugovor o radu, sklopljen u vezi s provedbom projekta, je prihvatljiv dokaz o pripadnosti ciljnoj skupini „stručnjaci iz područja kulture i umjetnosti“, ukoliko je iz njega vidljivo da osoba obavlja poslove iz područja kulture i umjetnosti kao zaposlenik ustanove u kulturi, umjetničke organizacije, udruge </w:t>
            </w:r>
            <w:r>
              <w:rPr>
                <w:rFonts w:cstheme="minorHAnsi"/>
              </w:rPr>
              <w:lastRenderedPageBreak/>
              <w:t xml:space="preserve">u području kulture i umjetnosti, zaklade te neprofitne zadruge koja obavlja kulturnu ili umjetničku djelatnost.  </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Također, sudionici stručnog usavršavanja mogu biti samo one osobe koje će, u okviru projektnog prijedloga, biti angažirane na pripremi i provedbi participativnih umjetničkih i kulturnih aktivnosti usmjerenih na socijalno uključivanje osoba starijih od 54 godine.</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Što je sa umirovljenicima koji su stručnjaci?</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Dokazi za ciljnu skupinu „stručnjaci iz područja kulture i umjetnosti“ navedeni su u točki </w:t>
            </w:r>
            <w:r>
              <w:rPr>
                <w:rFonts w:cstheme="minorHAnsi"/>
                <w:i/>
              </w:rPr>
              <w:t>1.4 Svrha, cilj i ciljne skupine Poziva na dostavu projektnih prijedloga (Upute za prijavitelje)</w:t>
            </w:r>
            <w:r>
              <w:rPr>
                <w:rFonts w:cstheme="minorHAnsi"/>
              </w:rPr>
              <w:t xml:space="preserve">. Navedene dokaze potrebno je osigurati za sve pripadnike ciljnih skupina koji će sudjelovati u projektnim aktivnostima.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 li osoba koja je zaposlena kod partnera biti voditelj projekta?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Da. Voditelj projekta mora biti zaposlen kod prijavitelja ili partnera temeljem ugovora o radu.</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 li udruga bez zaposlenih biti prijavitelj?</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Uvjeti prihvatljivosti prijavitelja navedeni su u točki 2.2.1 </w:t>
            </w:r>
            <w:r>
              <w:rPr>
                <w:rFonts w:cstheme="minorHAnsi"/>
                <w:i/>
              </w:rPr>
              <w:t>Prihvatljivi prijavitelji</w:t>
            </w:r>
            <w:r>
              <w:rPr>
                <w:rFonts w:cstheme="minorHAnsi"/>
              </w:rPr>
              <w:t xml:space="preserve"> Uputa za prijavitelje. Nije nužno da prijavitelj koji podnosi projektni prijedlog na ovaj Poziv, ima zaposlenu osobu. Ovaj natječaj omogućuje zapošljavanje novih osoba.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 li vanjski suradnik voditi projekt putem ugovora o djelu?</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Ne, voditelj projekta mora na projektu biti zaposlen kod prijavitelja/partnera isključivo putem ugovora o radu, iako pritom ne mora nužno biti u radnom odnosu kod prijavitelja/partnera prije sklapanja Ugovora o dodjeli bespovratnih sredstava. Voditelj projekta može biti zaposlen na određeno ili neodređeno vrijeme, na puno radno vrijeme ili na dio radnog vremena.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Mora li muzej dostaviti temeljni akt, ili je dovoljan izvod iz registra? I jesu li isti dokazi za prijavitelja ili partnera?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b/>
              </w:rPr>
            </w:pPr>
            <w:r>
              <w:rPr>
                <w:rFonts w:cstheme="minorHAnsi"/>
              </w:rPr>
              <w:t xml:space="preserve">Muzej mora dostaviti svoj temeljni akt. Preslika odgovarajućeg temeljnog akta dostavlja se </w:t>
            </w:r>
            <w:r>
              <w:rPr>
                <w:rFonts w:cstheme="minorHAnsi"/>
                <w:b/>
              </w:rPr>
              <w:t xml:space="preserve">za prijavitelja i, ako se prijavljuje u partnerstvu, za sve partnere na projektu. </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Temeljni akt ne moraju dostaviti jedinice lokalne i regionalne samouprave i udruge koje su uskladile svoj statut s odredbama Zakona o udrugama (NN74/2014), a isti je dostupan za preuzimanje u Registru udruga.</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 xml:space="preserve">Dokumentacija koju je potrebno priložiti projektnoj prijavi, navedena je u točki  </w:t>
            </w:r>
            <w:r>
              <w:rPr>
                <w:rFonts w:cstheme="minorHAnsi"/>
                <w:i/>
              </w:rPr>
              <w:t>5.1 Način podnošenja projektnog prijedloga</w:t>
            </w:r>
            <w:r>
              <w:rPr>
                <w:rFonts w:cstheme="minorHAnsi"/>
              </w:rPr>
              <w:t xml:space="preserve"> Uputa za prijavitelje.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Je li prihvatljiv partner JLS (grad ili općina) čiji je čelnik pravomoćno osuđen?</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Kriteriji za isključenje prijavitelja i, ako je primjenjivo, partnera navedeni su u točki 2.2.3 Uputa za prijavitelje. Prijavitelj i, ako je primjenjivo, partner nije prihvatljiv za sudjelovanje u Pozivu na dostavu projektnih prijedloga te s njim neće biti sklopljen Ugovor o dodjeli bespovratnih sredstava u sljedećim slučajevima: </w:t>
            </w:r>
          </w:p>
          <w:p w:rsidR="002329FE" w:rsidRDefault="0034741F">
            <w:pPr>
              <w:spacing w:after="0" w:line="240" w:lineRule="auto"/>
              <w:rPr>
                <w:rFonts w:cstheme="minorHAnsi"/>
              </w:rPr>
            </w:pPr>
            <w:r>
              <w:rPr>
                <w:rFonts w:cstheme="minorHAnsi"/>
              </w:rPr>
              <w:t xml:space="preserve">a) ako je prijavitelj/partner ili osoba ovlaštena po zakonu za zastupanje prijavitelja/partnera pravomoćno osuđena za bilo koje od sljedećih kaznenih djela: </w:t>
            </w:r>
          </w:p>
          <w:p w:rsidR="002329FE" w:rsidRDefault="0034741F">
            <w:pPr>
              <w:spacing w:after="0" w:line="240" w:lineRule="auto"/>
              <w:rPr>
                <w:rFonts w:cstheme="minorHAnsi"/>
              </w:rPr>
            </w:pPr>
            <w:r>
              <w:rPr>
                <w:rFonts w:cstheme="minorHAnsi"/>
              </w:rPr>
              <w:t>• prijevara, davanje i primanje mita, zloporaba u postupku javne nabave, utaja poreza ili carine, subvencijska prijevara, pranje novca, zloporaba položaja i ovlasti, nezakonito pogodovanje,</w:t>
            </w:r>
          </w:p>
          <w:p w:rsidR="002329FE" w:rsidRDefault="0034741F">
            <w:pPr>
              <w:spacing w:after="0" w:line="240" w:lineRule="auto"/>
              <w:rPr>
                <w:rFonts w:cstheme="minorHAnsi"/>
              </w:rPr>
            </w:pPr>
            <w:r>
              <w:rPr>
                <w:rFonts w:cstheme="minorHAnsi"/>
              </w:rPr>
              <w:t>• udruživanje za počinjenje kaznenih djela, zloporaba obavljanja dužnosti državne vlasti, protuzakonito posredovanje ,</w:t>
            </w:r>
          </w:p>
          <w:p w:rsidR="002329FE" w:rsidRDefault="0034741F">
            <w:pPr>
              <w:spacing w:after="0" w:line="240" w:lineRule="auto"/>
              <w:rPr>
                <w:rFonts w:cstheme="minorHAnsi"/>
              </w:rPr>
            </w:pPr>
            <w:r>
              <w:rPr>
                <w:rFonts w:cstheme="minorHAnsi"/>
              </w:rPr>
              <w:t>b) ako je dostavio lažne podatke pri predočavanju dokaza sukladno prethodno navedenim točkama;</w:t>
            </w:r>
          </w:p>
          <w:p w:rsidR="002329FE" w:rsidRDefault="0034741F">
            <w:pPr>
              <w:spacing w:after="0" w:line="240" w:lineRule="auto"/>
              <w:rPr>
                <w:rFonts w:cstheme="minorHAnsi"/>
              </w:rPr>
            </w:pPr>
            <w:r>
              <w:rPr>
                <w:rFonts w:cstheme="minorHAnsi"/>
              </w:rPr>
              <w:lastRenderedPageBreak/>
              <w:t>c) ako je u sukobu interesa ,</w:t>
            </w:r>
          </w:p>
          <w:p w:rsidR="002329FE" w:rsidRDefault="0034741F">
            <w:pPr>
              <w:spacing w:after="0" w:line="240" w:lineRule="auto"/>
              <w:rPr>
                <w:rFonts w:cstheme="minorHAnsi"/>
              </w:rPr>
            </w:pPr>
            <w:r>
              <w:rPr>
                <w:rFonts w:cstheme="minorHAnsi"/>
              </w:rPr>
              <w:t>d) ako je kriv za pružanje lažnih informacija tijelima nadležnima za upravljanje fondovima Europske unije u Republici Hrvatskoj,</w:t>
            </w:r>
          </w:p>
          <w:p w:rsidR="002329FE" w:rsidRDefault="0034741F">
            <w:pPr>
              <w:spacing w:after="0" w:line="240" w:lineRule="auto"/>
              <w:rPr>
                <w:rFonts w:cstheme="minorHAnsi"/>
              </w:rPr>
            </w:pPr>
            <w:r>
              <w:rPr>
                <w:rFonts w:cstheme="minorHAnsi"/>
              </w:rPr>
              <w:t>e) ako je pokušao pribaviti povjerljive informacije ili utjecati na Odbor za odabir projekata ili tijela nadležna za upravljanje fondovima Europske unije u Republici Hrvatskoj tijekom ovog ili prijašnjih poziva za dostavu projektnih prijedloga.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Postoji li neki minimalni broj sudionika?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Nije propisan ni ograničen broj sudionika u projektnim aktivnostima, no mora postojati jasna poveznica između broja sudionika, planiranih aktivnosti, ciljeva projekta i ukupnih troškova, uzevši u obzir ograničenja koja se odnose na najniži i najviši iznos bespovratnih sredstava koji se može dodijeliti pojedinom projektu ( v. točka 1.6 </w:t>
            </w:r>
            <w:r>
              <w:rPr>
                <w:rFonts w:cstheme="minorHAnsi"/>
                <w:i/>
              </w:rPr>
              <w:t>Financijska alokacija i iznos bespovratnih sredstava</w:t>
            </w:r>
            <w:r>
              <w:rPr>
                <w:rFonts w:cstheme="minorHAnsi"/>
              </w:rPr>
              <w:t xml:space="preserve"> Uputa za prijavitelje).</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Ukoliko udruga nema osobu koja je stalno zaposlena na mjestu voditelja projekta, ali planira zaposliti, kako se planira plaća?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U okviru proračuna projektnog prijedloga moguće je planirati plaću osobe koja u trenutku prijave nije zaposlena. Pri zapošljavanju osoba na projektu koji će se provoditi u okviru ESF-a, organizacija mora postupati sukladno primjenjivim zakonima, </w:t>
            </w:r>
            <w:proofErr w:type="spellStart"/>
            <w:r>
              <w:rPr>
                <w:rFonts w:cstheme="minorHAnsi"/>
              </w:rPr>
              <w:t>podzakonskim</w:t>
            </w:r>
            <w:proofErr w:type="spellEnd"/>
            <w:r>
              <w:rPr>
                <w:rFonts w:cstheme="minorHAnsi"/>
              </w:rPr>
              <w:t xml:space="preserve">  i internim aktima. </w:t>
            </w:r>
          </w:p>
          <w:p w:rsidR="002329FE" w:rsidRDefault="0034741F">
            <w:pPr>
              <w:spacing w:after="0" w:line="240" w:lineRule="auto"/>
              <w:rPr>
                <w:rFonts w:cstheme="minorHAnsi"/>
              </w:rPr>
            </w:pPr>
            <w:r>
              <w:rPr>
                <w:rFonts w:cstheme="minorHAnsi"/>
              </w:rPr>
              <w:t xml:space="preserve">Prihvatljivost troškova plaća određena je </w:t>
            </w:r>
            <w:r>
              <w:rPr>
                <w:rFonts w:cstheme="minorHAnsi"/>
                <w:i/>
              </w:rPr>
              <w:t>Uputom o prihvatljivosti troškova plaća i troškova povezanih s radom u okviru Europskog socijalnog fonda u Republici Hrvatskoj 2014. – 2020.</w:t>
            </w:r>
            <w:r>
              <w:rPr>
                <w:rFonts w:cstheme="minorHAnsi"/>
              </w:rPr>
              <w:t xml:space="preserve"> </w:t>
            </w:r>
          </w:p>
          <w:p w:rsidR="002329FE" w:rsidRDefault="0034741F">
            <w:pPr>
              <w:spacing w:after="0" w:line="240" w:lineRule="auto"/>
              <w:rPr>
                <w:rFonts w:cstheme="minorHAnsi"/>
              </w:rPr>
            </w:pPr>
            <w:r>
              <w:rPr>
                <w:rFonts w:cstheme="minorHAnsi"/>
              </w:rPr>
              <w:t>Za primjer izračuna, molimo vidjeti odgovor br.9.</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Dostavlja li se Obrazac A samo izvezen iz ESIF MIS sustava?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Sukladno Uputama za prijavitelje, točka</w:t>
            </w:r>
            <w:r>
              <w:rPr>
                <w:rFonts w:cstheme="minorHAnsi"/>
                <w:i/>
              </w:rPr>
              <w:t xml:space="preserve"> 5.1 Način podnošenja projektnog prijedloga,</w:t>
            </w:r>
            <w:r>
              <w:rPr>
                <w:rFonts w:cstheme="minorHAnsi"/>
              </w:rPr>
              <w:t xml:space="preserve"> Prijavni obrazac A dostavlja se u elektroničkoj verziji, u izvornom PDF formatu izvezenom iz ESIF MIS sustava (tzv. izvezeni PDF format) - spremljen za službeno podnošenje sa zabilježenim datumom i vremenom kad je izvezen iz ESIF MIS sustava te ne smije biti spremljen kao skica. Elektronička verzija treba biti dostavljena na CD-R. Nije potrebno dostavljati papirnatu verziju.</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Kako se označava oprema u Prijavnom obrascu A? i odnosi li se ograničenje od 30% za opremu samo na uklanjanje građevinskih barijera, ili na svu opremu?</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U okviru ovog Poziva za označavanje troškova u Prijavnom obrascu A, koriste se tri ponuđene mogućnosti: „izravni troškovi osoblja“, „indirektni trošak“ i „oprema“.</w:t>
            </w:r>
            <w:r>
              <w:t xml:space="preserve"> </w:t>
            </w:r>
            <w:r>
              <w:rPr>
                <w:rFonts w:cstheme="minorHAnsi"/>
              </w:rPr>
              <w:t xml:space="preserve">Oznaku „oprema“ dodajete svakoj stavki troška koja se odnosi na nabavu opreme. Navedeno ograničenje se odnosi na svu opremu koja se nabavlja u okviru projekta i na radove uklanjanja arhitektonskih barijera koje osobama s invaliditetom (pripadnici prve ciljne skupine) otežavaju/onemogućavaju pristup kulturno-umjetničkim sadržajima ukoliko su predviđeni projektnim prijedlogom..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Smatra li se opremom i potrošni materijal za radionice?</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Ne.</w:t>
            </w:r>
            <w:r>
              <w:t xml:space="preserve"> Sukladno točki </w:t>
            </w:r>
            <w:r>
              <w:rPr>
                <w:rFonts w:cstheme="minorHAnsi"/>
                <w:i/>
              </w:rPr>
              <w:t>4.1.1 Prihvatljivi izdaci</w:t>
            </w:r>
            <w:r>
              <w:rPr>
                <w:rFonts w:cstheme="minorHAnsi"/>
              </w:rPr>
              <w:t xml:space="preserve"> Uputa za prijavitelje, nabava radnog materijala za provedbu projektnih aktivnosti posebna je vrsta troška te, kao i nabava opreme, pripada kategoriji ostalih izravnih troškova.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Zanima me u Prijavnom obrascu B, u točki 2.1 </w:t>
            </w:r>
            <w:r>
              <w:rPr>
                <w:rFonts w:cstheme="minorHAnsi"/>
                <w:i/>
              </w:rPr>
              <w:t>Projektni tim</w:t>
            </w:r>
            <w:r>
              <w:rPr>
                <w:rFonts w:cstheme="minorHAnsi"/>
              </w:rPr>
              <w:t>, traženi su podaci za stručnjake koji sudjeluju u aktivnosti kao pripadnici druge ciljane skupine. Tu je odgovor DA ili NE?</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i/>
              </w:rPr>
            </w:pPr>
            <w:r>
              <w:rPr>
                <w:rFonts w:cstheme="minorHAnsi"/>
              </w:rPr>
              <w:t xml:space="preserve">Rubriku </w:t>
            </w:r>
            <w:r>
              <w:rPr>
                <w:bCs/>
                <w:i/>
              </w:rPr>
              <w:t xml:space="preserve">Aktivnost u kojoj sudjeluje kao pripadnik druge ciljane skupine, </w:t>
            </w:r>
            <w:r>
              <w:rPr>
                <w:bCs/>
              </w:rPr>
              <w:t xml:space="preserve">u točki 2.1 </w:t>
            </w:r>
            <w:r>
              <w:rPr>
                <w:bCs/>
                <w:i/>
              </w:rPr>
              <w:t>Projektni tim,</w:t>
            </w:r>
            <w:r>
              <w:rPr>
                <w:bCs/>
              </w:rPr>
              <w:t xml:space="preserve"> Prijavnog obrasca B, potrebno je popuniti samo za one članove projektnog tima koji </w:t>
            </w:r>
            <w:r>
              <w:rPr>
                <w:rFonts w:cstheme="minorHAnsi"/>
              </w:rPr>
              <w:t>ujedno sudjeluju u aktivnostima stručnog usavršavanja (kao pripadnici druge ciljne skupine). Za članove projektnog tima koji ne sudjeluju u aktivnostima stručnog usavršavanja dovoljno je upisati „nije primjenjivo“</w:t>
            </w:r>
            <w:r>
              <w:rPr>
                <w:rFonts w:cstheme="minorHAnsi"/>
                <w:i/>
              </w:rPr>
              <w:t>.</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Možemo li kao pokazatelj staviti osobe sa invaliditetom?</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F7085">
            <w:pPr>
              <w:pStyle w:val="CommentText"/>
              <w:spacing w:after="0"/>
            </w:pPr>
            <w:r w:rsidRPr="004046B8">
              <w:rPr>
                <w:rFonts w:cstheme="minorHAnsi"/>
                <w:sz w:val="22"/>
                <w:szCs w:val="22"/>
              </w:rPr>
              <w:t>Ciljane skupine i unaprijed utvrđeni pokazatelji ovog Poziva opisani su točkama 1.4</w:t>
            </w:r>
            <w:r w:rsidR="00E97829" w:rsidRPr="004046B8">
              <w:rPr>
                <w:rFonts w:cstheme="minorHAnsi"/>
                <w:sz w:val="22"/>
                <w:szCs w:val="22"/>
              </w:rPr>
              <w:t xml:space="preserve"> i 1.5 </w:t>
            </w:r>
            <w:r w:rsidR="0034741F" w:rsidRPr="004046B8">
              <w:rPr>
                <w:rFonts w:cstheme="minorHAnsi"/>
                <w:sz w:val="22"/>
                <w:szCs w:val="22"/>
              </w:rPr>
              <w:t xml:space="preserve">Osobe s invaliditetom nisu pokazatelj ovog Poziva. Prijavitelj može utvrditi i dodatne </w:t>
            </w:r>
            <w:r w:rsidR="0034741F" w:rsidRPr="004046B8">
              <w:rPr>
                <w:rFonts w:cstheme="minorHAnsi"/>
                <w:sz w:val="22"/>
                <w:szCs w:val="22"/>
              </w:rPr>
              <w:lastRenderedPageBreak/>
              <w:t>pokazatelje relevantne za svoj projekt koji će služiti kao objektivno provjerljivi pokazatelji uspješnosti provedbe projektnih aktivnosti. Svi pokazatelju navedeni u Prijavnom obrascu A postaju dio Ugovora, a neostvarivanje ciljnih vrijednosti pokazatelja može imati za posljedicu financijsku korekciju (sukladno članku 8, točki 8.3 Posebnih uvjeta Ugovora).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Radili bismo kazališnu predstavu u suradnji sa profesionalnim glumcima. Mogu li glumci biti osobe mlađe od 54 godine?</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Osobe koje provode projektne aktivnosti ne moraju biti starije od 54 godine.</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Osobe koje su sudionici u participativnim kulturnim i umjetničkim aktivnostima usmjerenim na socijalno uključivanje osoba starijih od 54 godine moraju biti starije od 54 godine.</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Je li prihvatljiva nabava opreme koja služi </w:t>
            </w:r>
            <w:proofErr w:type="spellStart"/>
            <w:r>
              <w:rPr>
                <w:rFonts w:cstheme="minorHAnsi"/>
              </w:rPr>
              <w:t>audiodeskripciji</w:t>
            </w:r>
            <w:proofErr w:type="spellEnd"/>
            <w:r>
              <w:rPr>
                <w:rFonts w:cstheme="minorHAnsi"/>
              </w:rPr>
              <w:t xml:space="preserve">?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Kupnja opreme je prihvatljiv trošak ukoliko se jasno može povezati s obaveznim (participativnim) projektnim aktivnostima, odnosno ukoliko doprinosi ostvarenju ciljeva projekta te je nužna za njegovo provođenje. Ostali uvjeti prihvatljivosti troškova navedeni su u točki 4.1 Uputa za prijavitelje.</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Možemo li predstavu koja će nastati kao rezultat provedbe projekta, kasnije ponuditi na tržištu?</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sidRPr="00E97829">
              <w:rPr>
                <w:rFonts w:cstheme="minorHAnsi"/>
              </w:rPr>
              <w:t xml:space="preserve">Zabrana ostvarivanja prihoda, koja je navedena u točki 4.2 </w:t>
            </w:r>
            <w:r w:rsidRPr="00E97829">
              <w:rPr>
                <w:rFonts w:cstheme="minorHAnsi"/>
                <w:i/>
              </w:rPr>
              <w:t>Prihodi od projektnih aktivnosti</w:t>
            </w:r>
            <w:r w:rsidRPr="00E97829">
              <w:rPr>
                <w:rFonts w:cstheme="minorHAnsi"/>
              </w:rPr>
              <w:t xml:space="preserve"> Uputa za prijavitelje, odnosi se na razdoblje provedbe projekta.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Jesu li ustanova (POU) prihvatljiv prijavitelj, ako u statutu ima i djelovanje u kulturi? I možemo li dobiti 40%  predujma?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Ustanove koje u svom temeljnom aktu imaju navedenu kulturnu, odnosno umjetničku djelatnost su prihvatljiv prijavitelj, odnosno partner. </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 xml:space="preserve">Isplata predujma nije moguća samo proračunskim i izvanproračunskim korisnicima Državnog proračuna, sukladno podacima iz Registra proračunskih i izvanproračunskih korisnika objavljenim na mrežnim stranicama Ministarstva financija, a koji su ujedno korisnici unutar sustava državne riznice.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sidRPr="00E97829">
              <w:rPr>
                <w:rFonts w:cstheme="minorHAnsi"/>
              </w:rPr>
              <w:t>U našoj ustanovi nemamo u sistematizaciji mjesto voditelja projekta, kad to moramo napraviti?</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rsidP="00E97829">
            <w:pPr>
              <w:spacing w:after="0" w:line="240" w:lineRule="auto"/>
              <w:rPr>
                <w:rFonts w:cstheme="minorHAnsi"/>
              </w:rPr>
            </w:pPr>
            <w:r>
              <w:rPr>
                <w:rFonts w:cstheme="minorHAnsi"/>
              </w:rPr>
              <w:t>Organizacija svoju strukturu i opis poslova</w:t>
            </w:r>
            <w:r w:rsidR="00E97829">
              <w:rPr>
                <w:rFonts w:cstheme="minorHAnsi"/>
              </w:rPr>
              <w:t xml:space="preserve"> </w:t>
            </w:r>
            <w:r>
              <w:rPr>
                <w:rFonts w:cstheme="minorHAnsi"/>
              </w:rPr>
              <w:t xml:space="preserve">određuje sukladno relevantnim zakonskim i </w:t>
            </w:r>
            <w:proofErr w:type="spellStart"/>
            <w:r>
              <w:rPr>
                <w:rFonts w:cstheme="minorHAnsi"/>
              </w:rPr>
              <w:t>podzakonskim</w:t>
            </w:r>
            <w:proofErr w:type="spellEnd"/>
            <w:r>
              <w:rPr>
                <w:rFonts w:cstheme="minorHAnsi"/>
              </w:rPr>
              <w:t xml:space="preserve"> aktima. Nije neophodno imati predviđeno radno mjesto voditelja projekta u sistematizaciji radnih mjesta, ali će u slučaju potencijalnog ugovaranja projekta biti potrebno osigurati dokumentaciju kojom je dokazivo na temelju čega se određuje visina plaće za navedeno radno mjesto</w:t>
            </w:r>
            <w:r w:rsidR="00E97829">
              <w:rPr>
                <w:rFonts w:cstheme="minorHAnsi"/>
              </w:rPr>
              <w:t>.</w:t>
            </w:r>
            <w:r>
              <w:rPr>
                <w:rFonts w:cstheme="minorHAnsi"/>
              </w:rPr>
              <w:t xml:space="preserv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Što ako specifične ciljeve proširimo na način da potičemo međugeneracijsku solidarnost – možemo li kao ciljnu skupinu uvesti mlade?</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Ciljane skupine za ovaj Poziv navedene su u točki 1.4 Uputa za prijavitelje i nije dopušteno uvođenje novih ciljnih skupina. Projektni prijedlog može se odnositi na pojedine potkategorije ciljne skupine zadane Uputama za prijavitelje, npr. osobe s invaliditetom starije od 54 godine ili pripadnici nacionalnih manjina stariji od 54 godine.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Moraju li projektni menadžeri biti zaposleni u organizaciji u trenutku prijave, ili ih možemo zaposliti kad započne provedba projekta?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Voditelj projekta ne mora biti zaposlen u trenutku prijave projektnog prijedloga. U tom slučaju potrebno je u Prijavnom obrascu B (u dijelu </w:t>
            </w:r>
            <w:r>
              <w:rPr>
                <w:rFonts w:cstheme="minorHAnsi"/>
                <w:i/>
              </w:rPr>
              <w:t>2.1 Projektni tim</w:t>
            </w:r>
            <w:r>
              <w:rPr>
                <w:rFonts w:cstheme="minorHAnsi"/>
              </w:rPr>
              <w:t xml:space="preserve">) navesti uvjete za zapošljavanje na mjestu voditelja projekta, a osoba naknadno zaposlena na projektu mora posjedovati kompetencije opisane pri prijavi projekta. </w:t>
            </w:r>
          </w:p>
          <w:p w:rsidR="002329FE" w:rsidRDefault="0034741F">
            <w:pPr>
              <w:spacing w:after="0" w:line="240" w:lineRule="auto"/>
              <w:rPr>
                <w:rFonts w:cstheme="minorHAnsi"/>
              </w:rPr>
            </w:pPr>
            <w:r>
              <w:rPr>
                <w:rFonts w:cstheme="minorHAnsi"/>
              </w:rPr>
              <w:t xml:space="preserve">Pri zapošljavanju osoba na projektu koji će se provoditi u okviru ESF-a, organizacija mora postupati u skladu s primjenjivim zakonima, </w:t>
            </w:r>
            <w:proofErr w:type="spellStart"/>
            <w:r>
              <w:rPr>
                <w:rFonts w:cstheme="minorHAnsi"/>
              </w:rPr>
              <w:t>podzakonskim</w:t>
            </w:r>
            <w:proofErr w:type="spellEnd"/>
            <w:r>
              <w:rPr>
                <w:rFonts w:cstheme="minorHAnsi"/>
              </w:rPr>
              <w:t xml:space="preserve"> i internim aktima.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Mi smo udruga u kojoj su svi umjetnici sa statusom samostalnih umjetnika. Znači li to da se osoba koja će voditi projekt, mora lišiti svog statusa samostalnog umjetnika?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Calibri"/>
              </w:rPr>
            </w:pPr>
            <w:r>
              <w:rPr>
                <w:rFonts w:cs="Calibri"/>
              </w:rPr>
              <w:t xml:space="preserve">Voditelj projekta mora biti zaposlen putem ugovora o radu kod prijavitelja/partnera. </w:t>
            </w:r>
          </w:p>
          <w:p w:rsidR="002329FE" w:rsidRDefault="0034741F">
            <w:pPr>
              <w:spacing w:after="0" w:line="240" w:lineRule="auto"/>
              <w:rPr>
                <w:rFonts w:cstheme="minorHAnsi"/>
              </w:rPr>
            </w:pPr>
            <w:r>
              <w:rPr>
                <w:rFonts w:cs="Calibri"/>
              </w:rPr>
              <w:t>Sukladno članku 33.</w:t>
            </w:r>
            <w:r>
              <w:rPr>
                <w:rFonts w:cs="Calibri"/>
                <w:i/>
              </w:rPr>
              <w:t xml:space="preserve"> Pravilnika o načinu i uvjetima za priznavanje prava samostalnih umjetnika na uplatu obveznih doprinosa za mirovinsko i zdravstveno osiguranje iz sredstava proračuna Republike Hrvatske </w:t>
            </w:r>
            <w:r>
              <w:rPr>
                <w:rFonts w:cstheme="minorHAnsi"/>
                <w:i/>
              </w:rPr>
              <w:t>RH (NN 91/15)</w:t>
            </w:r>
            <w:r>
              <w:rPr>
                <w:rFonts w:cs="Calibri"/>
              </w:rPr>
              <w:t>, samostalni umjetnik može obnoviti pravo na uplatu doprinosa iz sredstava proračuna RH nakon prestanka radnog odnosa, ako je radni odnos trajao najdulje dvije godine. Stoga, zaposlenje samostalnog umjetnika na projektu, koji u okviru ovog Poziva može trajati najviše 18 mjeseci, nije prepreka za obnovu navedenog prava.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 li se povećati plaća osobama koje su zaposlene u udruzi, za potrebe provođenja projektnih aktivnosti? Što ako je osoba zaposlena na pola radnog vremena, možemo li je zaposliti na puno radno vrijeme?</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pPr>
            <w:r>
              <w:rPr>
                <w:rFonts w:cstheme="minorHAnsi"/>
              </w:rPr>
              <w:t xml:space="preserve">Sukladno </w:t>
            </w:r>
            <w:r>
              <w:rPr>
                <w:rFonts w:cstheme="minorHAnsi"/>
                <w:i/>
              </w:rPr>
              <w:t>Uputi o prihvatljivosti  troškova plaća i troškova povezanih s radom u okviru ESF-a u RH 2014. – 2020.</w:t>
            </w:r>
            <w:r>
              <w:rPr>
                <w:rFonts w:cstheme="minorHAnsi"/>
              </w:rPr>
              <w:t xml:space="preserve">, koje su objavljene na </w:t>
            </w:r>
            <w:hyperlink r:id="rId6">
              <w:r>
                <w:rPr>
                  <w:rStyle w:val="Internetskapoveznica"/>
                  <w:rFonts w:cstheme="minorHAnsi"/>
                </w:rPr>
                <w:t>www.esf.hr</w:t>
              </w:r>
            </w:hyperlink>
            <w:r>
              <w:t xml:space="preserve"> p</w:t>
            </w:r>
            <w:r>
              <w:rPr>
                <w:rFonts w:cstheme="minorHAnsi"/>
              </w:rPr>
              <w:t xml:space="preserve">ovećanje plaća prije potpisivanja ugovora ili tijekom provedbe projekta o dodjeli bespovratnih sredstava prihvatljivo je ako je riječ o napredovanju ili povećanju plaća koje se odnosi na sve zaposlenike u instituciji ili organizaciji. </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Osoba koja je u udruzi bila zaposlena na nepuno radno vrijeme, može se za potrebe  provedbe projekta zaposliti na puno radno vrijeme, ako je to nužno radi provođenja projektnih aktivnosti.</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Mi već provodimo projekt koji se financira iz europskih fondova. Možemo li na mjestu voditelja projekta kojeg ćemo provoditi po ovom natječaju, imati osobu koja već radi taj posao na prethodnom projektu? Ako da, kada je potrebno izvršiti preraspodjelu radnog vremena?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Pr="004046B8" w:rsidRDefault="0034741F">
            <w:pPr>
              <w:spacing w:after="0" w:line="240" w:lineRule="auto"/>
              <w:rPr>
                <w:rFonts w:cstheme="minorHAnsi"/>
              </w:rPr>
            </w:pPr>
            <w:r w:rsidRPr="004046B8">
              <w:rPr>
                <w:rFonts w:cstheme="minorHAnsi"/>
              </w:rPr>
              <w:t xml:space="preserve">Prihvatljivo je da ista osoba bude voditelj dvaju različitih projekata, ako ne dolazi do dvostrukog financiranja, odnosno ako ukupni angažman osobe ne prelazi 100% radnog vremena. Preraspodjelu radnog vremena potrebno je izvršiti do trenutka kada osoba počinje provoditi projektne aktivnosti. </w:t>
            </w:r>
          </w:p>
          <w:p w:rsidR="002329FE" w:rsidRPr="004046B8" w:rsidRDefault="002329FE">
            <w:pPr>
              <w:spacing w:after="0" w:line="240" w:lineRule="auto"/>
              <w:rPr>
                <w:rFonts w:cstheme="minorHAnsi"/>
              </w:rPr>
            </w:pPr>
          </w:p>
          <w:p w:rsidR="002329FE" w:rsidRDefault="0034741F">
            <w:pPr>
              <w:spacing w:after="0" w:line="240" w:lineRule="auto"/>
              <w:rPr>
                <w:rFonts w:cstheme="minorHAnsi"/>
              </w:rPr>
            </w:pPr>
            <w:r w:rsidRPr="004046B8">
              <w:rPr>
                <w:rFonts w:cstheme="minorHAnsi"/>
              </w:rPr>
              <w:t>Tijekom provedbe projekta potrebno je, u vezi s pravdanjem troškova rada na temelju radnog odnosa, dostaviti Nacionalnoj zakladi za razvoj civilnoga društva Odluku o postotku rada na projektu.</w:t>
            </w:r>
            <w:r>
              <w:rPr>
                <w:rFonts w:cstheme="minorHAnsi"/>
              </w:rPr>
              <w:t xml:space="preserv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Mi planiramo za ciljane skupine organizirati kino projekcije i kazališne predstave, budući da živimo u ruralnom području. Jesu li to prihvatljive aktivnosti, budući da bi njihov angažman bio pasivan.</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Projektne aktivnosti u kojima sudjeluju pripadnici ciljne skupine „Osobe starije od 54 godine“ moraju biti participativne i doprinositi ostvarenju ciljeva Poziva, odnosno projekta.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Možemo li za element „Upravljanje projektom i administracija“ nabaviti laptop?</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Ne, kupnja opreme je prihvatljiv trošak ukoliko se jasno može povezati s obaveznim (participativnim) projektnim aktivnostima, odnosno ukoliko doprinosi ostvarenju ciljeva projekta te je nužna za njegovo provođenje.</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Jesu li prihvatljive radionice dizajna?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Participativne radionice u području dizajna su prihvatljiva aktivnost.</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 li centar za kulturu biti prijavitelj projekta?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Prihvatljivi prijavitelji navedeni su u točki 2.2.1 Uputa za prijavitelje. Ustanove u kulturi su prihvatljivi prijavitelji ovog poziva, ako udovoljavaju i drugim uvjetima koji su propisani natječajnom dokumentacijom.</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pPr>
            <w:r>
              <w:t>Jesu li prihvatljiva aktivnost pripremne radionice (npr. informatičke radionice) na kojima će sudionici, osobe starije od 54 godine, steći znanja potrebna za sudjelovanje na drugim radionicama koje će se provoditi u okviru projektnog prijedloga (npr. audio radionice)?</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Prema točki 3.3 </w:t>
            </w:r>
            <w:r>
              <w:rPr>
                <w:rFonts w:cstheme="minorHAnsi"/>
                <w:i/>
              </w:rPr>
              <w:t>Prihvatljive aktivnosti</w:t>
            </w:r>
            <w:r>
              <w:rPr>
                <w:rFonts w:cstheme="minorHAnsi"/>
              </w:rPr>
              <w:t xml:space="preserve"> Uputa za prijavitelje, projektni prijedlozi moraju nužno sadržavati participativne kulturne i umjetničke aktivnosti za osobe starije od 54 godine. Prijavitelj u projektnoj prijavi obrazlaže povezanost projektnih aktivnosti s ostvarivanjem ciljeva projekta/Poziva. Navedena aktivnost može biti prihvatljiva ukoliko je jasno povezana s </w:t>
            </w:r>
            <w:r>
              <w:rPr>
                <w:rFonts w:cstheme="minorHAnsi"/>
              </w:rPr>
              <w:lastRenderedPageBreak/>
              <w:t>obaveznim participativnim kulturnim i umjetničkim aktivnostima i nužna za ostvarivanje ciljeva projekta/Poziva.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Mislimo zaposliti nezaposlenu osobu na mjestu voditelja projekta. Ako se ta osoba zaposli prije no što počne provedba projekta, možemo li zaposliti drugu osobu, umjesto one koju smo planirali?</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Da, takve su promjene moguće. Korisnik mora o nastaloj promjeni izvijestiti PT2, a osoba koja će biti zaposlena na mjestu voditelja projekta mora posjedovati kompetencije navedene pri prijavi projekta.</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 li voditelj projekta biti zaposlen kod partnera?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Da. Voditelj projekta mora biti zaposlen kod prijavitelja ili partnera temeljem ugovora o radu.</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Možemo li imati edukaciju za stručnjake koji nisu zaposleni u udruzi, nego bi bile angažirane na projektu putem autorskih ugovora?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t xml:space="preserve">Stručnjaci koji su sudionici u projektnim aktivnostima stručnog usavršavanja </w:t>
            </w:r>
            <w:r>
              <w:rPr>
                <w:b/>
              </w:rPr>
              <w:t>mogu na projektu biti angažirani putem autorskog ugovora</w:t>
            </w:r>
            <w:r>
              <w:t xml:space="preserve">, </w:t>
            </w:r>
            <w:r>
              <w:rPr>
                <w:rFonts w:cstheme="minorHAnsi"/>
              </w:rPr>
              <w:t xml:space="preserve">ali moraju imati status samostalnog umjetnika ili biti zaposlenici ustanove u kulturi, umjetničke organizacije, udruge u području kulture i umjetnosti, zaklade ili neprofitne zadruge koja obavlja kulturnu ili umjetničku djelatnost. Nije nužno da su stručnjaci koji su sudionici u navedenim aktivnostima zaposlenici prijavitelja ili partnera. </w:t>
            </w:r>
          </w:p>
          <w:p w:rsidR="002329FE" w:rsidRDefault="0034741F">
            <w:pPr>
              <w:spacing w:after="0" w:line="240" w:lineRule="auto"/>
              <w:rPr>
                <w:rFonts w:cstheme="minorHAnsi"/>
              </w:rPr>
            </w:pPr>
            <w:r>
              <w:rPr>
                <w:rFonts w:cstheme="minorHAnsi"/>
              </w:rPr>
              <w:t xml:space="preserve">Prijavitelj je za njih dužan osigurati dokaze sukladno točki 1.4 </w:t>
            </w:r>
            <w:r>
              <w:rPr>
                <w:rFonts w:cstheme="minorHAnsi"/>
                <w:i/>
              </w:rPr>
              <w:t>Svrha, cilj i ciljne skupine Poziva na dostavu projektnih prijedloga</w:t>
            </w:r>
            <w:r>
              <w:rPr>
                <w:rFonts w:cstheme="minorHAnsi"/>
              </w:rPr>
              <w:t>, Uputa za prijavitelje.</w:t>
            </w:r>
          </w:p>
          <w:p w:rsidR="002329FE" w:rsidRDefault="002329FE">
            <w:pPr>
              <w:spacing w:after="0" w:line="240" w:lineRule="auto"/>
              <w:rPr>
                <w:rFonts w:cstheme="minorHAnsi"/>
              </w:rPr>
            </w:pPr>
          </w:p>
          <w:p w:rsidR="002329FE" w:rsidRDefault="0034741F">
            <w:pPr>
              <w:spacing w:after="0" w:line="240" w:lineRule="auto"/>
              <w:rPr>
                <w:rFonts w:cstheme="minorHAnsi"/>
              </w:rPr>
            </w:pPr>
            <w:r>
              <w:rPr>
                <w:rFonts w:cstheme="minorHAnsi"/>
              </w:rPr>
              <w:t>Troškovi stručnog usavršavanja su prihvatljivi samo za pripadnike ciljne skupine „stručnjaci iz područja kulture i umjetnosti“</w:t>
            </w:r>
            <w:r>
              <w:t xml:space="preserve"> </w:t>
            </w:r>
            <w:r>
              <w:rPr>
                <w:rFonts w:cstheme="minorHAnsi"/>
              </w:rPr>
              <w:t xml:space="preserve">koji će provoditi participativne projektne aktivnosti za pripadnike ciljne skupine „osobe starije od 54 godine“.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Mora li osoba koja je zaposlena u nepunom radnom vremenu u udruzi, </w:t>
            </w:r>
            <w:r>
              <w:rPr>
                <w:rFonts w:cstheme="minorHAnsi"/>
                <w:i/>
              </w:rPr>
              <w:t xml:space="preserve">zamrznuti </w:t>
            </w:r>
            <w:r>
              <w:rPr>
                <w:rFonts w:cstheme="minorHAnsi"/>
              </w:rPr>
              <w:t>svoj status kako bi se u istom postotku radnog vremena zaposlila u provedbi projekta?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Osoba koja je u udruzi bila zaposlena na nepuno radno vrijeme, može se za potrebe provedbe projekta zaposliti na puno radno vrijeme, ako je to nužno radi provođenja projektnih aktivnosti.</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Planiramo napraviti kazališnu predstavu, u kojoj bi kao provoditelji aktivnosti sudjelovali i profesionalni glumci. Moraju li biti stariji od 54 godine?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Molimo vidjeti odgovor na pitanje br. 38.</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Mogu li voditelj projekta i provoditelj aktivnosti biti ista osoba?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Moguće je da jedna osoba ujedno bude voditelj projekta i provoditelj drugih projektnih aktivnosti . Ukoliko je voditelj projekta, osim na elementu „Upravljanje projektom i administracija“, izravno angažiran na ostalim elementima projekta, njegova se plaća prikazuje u odgovarajućim postotcima unutar odgovarajućeg elementa u proračunu projekta u Prijavnom obrascu A.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Već dvije godine čekamo usklađivanje statuta u kojem imamo navedenu kulturnu djelatnost. Provjerava li se prihvatljivost prijavitelja odnosno partnera prema važećem statutu ili prema statutu za koji tek trebamo dobiti odobrenje? </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 xml:space="preserve">Prihvatljivost prijavitelja/partnera, s obzirom na to koju djelatnost obavlja, provjerava se uvidom u važeći temeljni akt. </w:t>
            </w:r>
          </w:p>
          <w:p w:rsidR="002329FE" w:rsidRDefault="0034741F">
            <w:pPr>
              <w:spacing w:after="0" w:line="240" w:lineRule="auto"/>
              <w:rPr>
                <w:rFonts w:cstheme="minorHAnsi"/>
                <w:b/>
              </w:rPr>
            </w:pPr>
            <w:r>
              <w:rPr>
                <w:rFonts w:cstheme="minorHAnsi"/>
              </w:rPr>
              <w:t xml:space="preserve">Preslika odgovarajućeg temeljnog akta dostavlja se </w:t>
            </w:r>
            <w:r w:rsidRPr="00E97829">
              <w:rPr>
                <w:rFonts w:cstheme="minorHAnsi"/>
              </w:rPr>
              <w:t xml:space="preserve">za prijavitelja i, ako se prijavljuje u partnerstvu, za sve partnere na projektu. Točkom 5. Poglavlja 5.1 Način podnošenja projektnog prijedloga podrobnije je opisano u kojem slučaju prijavitelj/partner kao udruga treba dostaviti temeljni akt. </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Može li osoba koja je zaposlena pola radnog vremena u školi, a dok drugu polovicu vremena provodi na porodiljinom dopustu, biti</w:t>
            </w:r>
          </w:p>
          <w:p w:rsidR="002329FE" w:rsidRDefault="0034741F">
            <w:pPr>
              <w:spacing w:after="0" w:line="240" w:lineRule="auto"/>
              <w:rPr>
                <w:rFonts w:cstheme="minorHAnsi"/>
              </w:rPr>
            </w:pPr>
            <w:r>
              <w:rPr>
                <w:rFonts w:cstheme="minorHAnsi"/>
              </w:rPr>
              <w:t>zaposlena kao voditelj projekta?</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Ne. Voditelj projekta mora biti zaposlen kod korisnika ili partnera putem ugovora o radu (nepuno ili puno radno vrijeme). Prilikom zapošljavanja, potrebno je poštivati zakonodavni okvir kojim se u RH uređuju rad i radni odnosi.</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Kako se obračunavaju putni troškovi za inozemstvo?</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pPr>
            <w:r>
              <w:rPr>
                <w:rFonts w:cstheme="minorHAnsi"/>
              </w:rPr>
              <w:t xml:space="preserve">Putni troškovi za inozemstvo obračunavaju se sukladno nacionalnom zakonodavstvu te </w:t>
            </w:r>
            <w:r>
              <w:rPr>
                <w:rFonts w:cstheme="minorHAnsi"/>
                <w:i/>
              </w:rPr>
              <w:t xml:space="preserve">Uputama o prihvatljivosti  </w:t>
            </w:r>
            <w:r>
              <w:rPr>
                <w:rFonts w:cstheme="minorHAnsi"/>
                <w:i/>
              </w:rPr>
              <w:lastRenderedPageBreak/>
              <w:t>troškova plaća i troškova povezanih s radom u okviru ESF-a u RH 2014. – 2020.</w:t>
            </w:r>
            <w:r>
              <w:rPr>
                <w:rFonts w:cstheme="minorHAnsi"/>
              </w:rPr>
              <w:t xml:space="preserve">, koje su objavljene na </w:t>
            </w:r>
            <w:hyperlink r:id="rId7">
              <w:r>
                <w:rPr>
                  <w:rStyle w:val="Internetskapoveznica"/>
                  <w:rFonts w:cstheme="minorHAnsi"/>
                </w:rPr>
                <w:t>www.esf.hr</w:t>
              </w:r>
            </w:hyperlink>
            <w:r>
              <w:rPr>
                <w:rFonts w:cstheme="minorHAnsi"/>
              </w:rPr>
              <w:t>.</w:t>
            </w: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sidRPr="00E97829">
              <w:rPr>
                <w:rFonts w:cstheme="minorHAnsi"/>
              </w:rPr>
              <w:t>Možemo li platiti dnevnice za pripadnike ciljne skupine, koja odlazi na tri dana u drugu županiju?</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B27F60">
            <w:pPr>
              <w:spacing w:after="0" w:line="240" w:lineRule="auto"/>
              <w:rPr>
                <w:rFonts w:cstheme="minorHAnsi"/>
              </w:rPr>
            </w:pPr>
            <w:r>
              <w:rPr>
                <w:rFonts w:cstheme="minorHAnsi"/>
              </w:rPr>
              <w:t>Za pripadnike ciljane skupine prihvatljiva je isplata dnevnice putem putnog naloga.</w:t>
            </w:r>
          </w:p>
          <w:p w:rsidR="002329FE" w:rsidRDefault="002329FE">
            <w:pPr>
              <w:spacing w:after="0" w:line="240" w:lineRule="auto"/>
              <w:rPr>
                <w:rFonts w:cstheme="minorHAnsi"/>
              </w:rPr>
            </w:pPr>
          </w:p>
        </w:tc>
      </w:tr>
      <w:tr w:rsidR="002329FE" w:rsidTr="00F60961">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2329FE">
            <w:pPr>
              <w:pStyle w:val="ListParagraph"/>
              <w:numPr>
                <w:ilvl w:val="0"/>
                <w:numId w:val="1"/>
              </w:numPr>
              <w:spacing w:after="0" w:line="240" w:lineRule="auto"/>
              <w:rPr>
                <w:rFonts w:cstheme="minorHAnsi"/>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Je li nabava polovnog automobila prihvatljiv trošak?</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9FE" w:rsidRDefault="0034741F">
            <w:pPr>
              <w:spacing w:after="0" w:line="240" w:lineRule="auto"/>
              <w:rPr>
                <w:rFonts w:cstheme="minorHAnsi"/>
              </w:rPr>
            </w:pPr>
            <w:r>
              <w:rPr>
                <w:rFonts w:cstheme="minorHAnsi"/>
              </w:rPr>
              <w:t>Ne. Sukladno Pravilniku o prihvatljivosti izdataka u okviru Europskog socijalnog fonda (NN 149/14, 14/16, 74/16 ) – nije dopuštena nabava korištene opreme.</w:t>
            </w:r>
          </w:p>
        </w:tc>
      </w:tr>
    </w:tbl>
    <w:p w:rsidR="002329FE" w:rsidRDefault="002329FE"/>
    <w:sectPr w:rsidR="002329FE" w:rsidSect="002329FE">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Noto Sans CJK SC Regular">
    <w:charset w:val="01"/>
    <w:family w:val="auto"/>
    <w:pitch w:val="variable"/>
  </w:font>
  <w:font w:name="FreeSans">
    <w:altName w:val="Times New Roman"/>
    <w:panose1 w:val="00000000000000000000"/>
    <w:charset w:val="00"/>
    <w:family w:val="roman"/>
    <w:notTrueType/>
    <w:pitch w:val="default"/>
  </w:font>
  <w:font w:name="Droid Sans Fallback">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A5136"/>
    <w:multiLevelType w:val="multilevel"/>
    <w:tmpl w:val="7B9ECF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4306074"/>
    <w:multiLevelType w:val="multilevel"/>
    <w:tmpl w:val="3EEA29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FE"/>
    <w:rsid w:val="002329FE"/>
    <w:rsid w:val="0034741F"/>
    <w:rsid w:val="003F7085"/>
    <w:rsid w:val="004046B8"/>
    <w:rsid w:val="004A76E1"/>
    <w:rsid w:val="004D666D"/>
    <w:rsid w:val="00B27F60"/>
    <w:rsid w:val="00E97829"/>
    <w:rsid w:val="00F60961"/>
    <w:rsid w:val="00F93D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E823B-9FEF-42B7-BCD6-02ACDEB0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9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B2F09"/>
    <w:rPr>
      <w:rFonts w:ascii="Segoe UI" w:hAnsi="Segoe UI" w:cs="Segoe UI"/>
      <w:sz w:val="18"/>
      <w:szCs w:val="18"/>
    </w:rPr>
  </w:style>
  <w:style w:type="character" w:styleId="CommentReference">
    <w:name w:val="annotation reference"/>
    <w:basedOn w:val="DefaultParagraphFont"/>
    <w:uiPriority w:val="99"/>
    <w:semiHidden/>
    <w:unhideWhenUsed/>
    <w:qFormat/>
    <w:rsid w:val="00EE5CBF"/>
    <w:rPr>
      <w:sz w:val="16"/>
      <w:szCs w:val="16"/>
    </w:rPr>
  </w:style>
  <w:style w:type="character" w:customStyle="1" w:styleId="CommentTextChar">
    <w:name w:val="Comment Text Char"/>
    <w:basedOn w:val="DefaultParagraphFont"/>
    <w:link w:val="CommentText"/>
    <w:uiPriority w:val="99"/>
    <w:qFormat/>
    <w:rsid w:val="00EE5CBF"/>
    <w:rPr>
      <w:sz w:val="20"/>
      <w:szCs w:val="20"/>
    </w:rPr>
  </w:style>
  <w:style w:type="character" w:customStyle="1" w:styleId="CommentSubjectChar">
    <w:name w:val="Comment Subject Char"/>
    <w:basedOn w:val="CommentTextChar"/>
    <w:link w:val="CommentSubject"/>
    <w:uiPriority w:val="99"/>
    <w:semiHidden/>
    <w:qFormat/>
    <w:rsid w:val="00EE5CBF"/>
    <w:rPr>
      <w:b/>
      <w:bCs/>
      <w:sz w:val="20"/>
      <w:szCs w:val="20"/>
    </w:rPr>
  </w:style>
  <w:style w:type="character" w:customStyle="1" w:styleId="Internetskapoveznica">
    <w:name w:val="Internetska poveznica"/>
    <w:basedOn w:val="DefaultParagraphFont"/>
    <w:uiPriority w:val="99"/>
    <w:unhideWhenUsed/>
    <w:rsid w:val="003900B8"/>
    <w:rPr>
      <w:color w:val="0563C1" w:themeColor="hyperlink"/>
      <w:u w:val="single"/>
    </w:rPr>
  </w:style>
  <w:style w:type="paragraph" w:customStyle="1" w:styleId="Stilnaslova">
    <w:name w:val="Stil naslova"/>
    <w:basedOn w:val="Normal"/>
    <w:next w:val="BodyText"/>
    <w:qFormat/>
    <w:rsid w:val="002329FE"/>
    <w:pPr>
      <w:keepNext/>
      <w:spacing w:before="240" w:after="120"/>
    </w:pPr>
    <w:rPr>
      <w:rFonts w:ascii="Arial" w:eastAsia="Noto Sans CJK SC Regular" w:hAnsi="Arial" w:cs="FreeSans"/>
      <w:szCs w:val="28"/>
    </w:rPr>
  </w:style>
  <w:style w:type="paragraph" w:styleId="BodyText">
    <w:name w:val="Body Text"/>
    <w:basedOn w:val="Normal"/>
    <w:rsid w:val="002329FE"/>
    <w:pPr>
      <w:spacing w:after="140" w:line="288" w:lineRule="auto"/>
    </w:pPr>
  </w:style>
  <w:style w:type="paragraph" w:styleId="List">
    <w:name w:val="List"/>
    <w:basedOn w:val="BodyText"/>
    <w:rsid w:val="002329FE"/>
    <w:rPr>
      <w:rFonts w:ascii="Arial" w:hAnsi="Arial" w:cs="FreeSans"/>
    </w:rPr>
  </w:style>
  <w:style w:type="paragraph" w:styleId="Caption">
    <w:name w:val="caption"/>
    <w:basedOn w:val="Normal"/>
    <w:qFormat/>
    <w:rsid w:val="002329FE"/>
    <w:pPr>
      <w:suppressLineNumbers/>
      <w:spacing w:before="120" w:after="120"/>
    </w:pPr>
    <w:rPr>
      <w:rFonts w:ascii="Arial" w:hAnsi="Arial" w:cs="FreeSans"/>
      <w:i/>
      <w:iCs/>
      <w:szCs w:val="24"/>
    </w:rPr>
  </w:style>
  <w:style w:type="paragraph" w:customStyle="1" w:styleId="Indeks">
    <w:name w:val="Indeks"/>
    <w:basedOn w:val="Normal"/>
    <w:qFormat/>
    <w:rsid w:val="002329FE"/>
    <w:pPr>
      <w:suppressLineNumbers/>
    </w:pPr>
    <w:rPr>
      <w:rFonts w:ascii="Arial" w:hAnsi="Arial" w:cs="FreeSans"/>
    </w:rPr>
  </w:style>
  <w:style w:type="paragraph" w:styleId="BalloonText">
    <w:name w:val="Balloon Text"/>
    <w:basedOn w:val="Normal"/>
    <w:link w:val="BalloonTextChar"/>
    <w:uiPriority w:val="99"/>
    <w:semiHidden/>
    <w:unhideWhenUsed/>
    <w:qFormat/>
    <w:rsid w:val="003B2F09"/>
    <w:pPr>
      <w:spacing w:after="0" w:line="240" w:lineRule="auto"/>
    </w:pPr>
    <w:rPr>
      <w:rFonts w:ascii="Segoe UI" w:hAnsi="Segoe UI" w:cs="Segoe UI"/>
      <w:sz w:val="18"/>
      <w:szCs w:val="18"/>
    </w:rPr>
  </w:style>
  <w:style w:type="paragraph" w:styleId="ListParagraph">
    <w:name w:val="List Paragraph"/>
    <w:basedOn w:val="Normal"/>
    <w:uiPriority w:val="34"/>
    <w:qFormat/>
    <w:rsid w:val="003B2F09"/>
    <w:pPr>
      <w:ind w:left="720"/>
      <w:contextualSpacing/>
    </w:pPr>
  </w:style>
  <w:style w:type="paragraph" w:styleId="CommentText">
    <w:name w:val="annotation text"/>
    <w:basedOn w:val="Normal"/>
    <w:link w:val="CommentTextChar"/>
    <w:uiPriority w:val="99"/>
    <w:unhideWhenUsed/>
    <w:qFormat/>
    <w:rsid w:val="00EE5CBF"/>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E5CBF"/>
    <w:rPr>
      <w:b/>
      <w:bCs/>
    </w:rPr>
  </w:style>
  <w:style w:type="paragraph" w:customStyle="1" w:styleId="Sadrajitablice">
    <w:name w:val="Sadržaji tablice"/>
    <w:basedOn w:val="Normal"/>
    <w:qFormat/>
    <w:rsid w:val="00D74830"/>
    <w:pPr>
      <w:suppressAutoHyphens/>
      <w:spacing w:line="252" w:lineRule="auto"/>
    </w:pPr>
    <w:rPr>
      <w:rFonts w:ascii="Calibri" w:eastAsia="Droid Sans Fallback" w:hAnsi="Calibri" w:cs="Times New Roman"/>
      <w:color w:val="00000A"/>
    </w:rPr>
  </w:style>
  <w:style w:type="paragraph" w:customStyle="1" w:styleId="Naslovtablice">
    <w:name w:val="Naslov tablice"/>
    <w:basedOn w:val="Sadrajitablice"/>
    <w:qFormat/>
    <w:rsid w:val="00D74830"/>
  </w:style>
  <w:style w:type="table" w:styleId="TableGrid">
    <w:name w:val="Table Grid"/>
    <w:basedOn w:val="TableNormal"/>
    <w:uiPriority w:val="39"/>
    <w:rsid w:val="008A3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f.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f.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483A4-DDE5-433A-AF05-B765C09F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5053</Words>
  <Characters>28806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Perucci</dc:creator>
  <dc:description/>
  <cp:lastModifiedBy>Iva Marić</cp:lastModifiedBy>
  <cp:revision>2</cp:revision>
  <cp:lastPrinted>2017-07-12T08:49:00Z</cp:lastPrinted>
  <dcterms:created xsi:type="dcterms:W3CDTF">2017-07-14T14:23:00Z</dcterms:created>
  <dcterms:modified xsi:type="dcterms:W3CDTF">2017-07-14T14:23:00Z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